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0"/>
        <w:ind w:left="0"/>
        <w:rPr>
          <w:rFonts w:ascii="Times New Roman"/>
          <w:sz w:val="20"/>
        </w:rPr>
      </w:pPr>
      <w:r>
        <w:rPr/>
        <w:pict>
          <v:group style="position:absolute;margin-left:0pt;margin-top:0pt;width:612pt;height:298.8pt;mso-position-horizontal-relative:page;mso-position-vertical-relative:page;z-index:-15886336" coordorigin="0,0" coordsize="12240,5976">
            <v:rect style="position:absolute;left:0;top:4204;width:12240;height:1772" filled="true" fillcolor="#f2f0f0" stroked="false">
              <v:fill type="solid"/>
            </v:rect>
            <v:rect style="position:absolute;left:0;top:0;width:12240;height:4205" filled="true" fillcolor="#2d3d04" stroked="false">
              <v:fill type="solid"/>
            </v:rect>
            <w10:wrap type="none"/>
          </v:group>
        </w:pict>
      </w:r>
    </w:p>
    <w:p>
      <w:pPr>
        <w:pStyle w:val="BodyText"/>
        <w:spacing w:before="0"/>
        <w:ind w:left="0"/>
        <w:rPr>
          <w:rFonts w:ascii="Times New Roman"/>
          <w:sz w:val="20"/>
        </w:rPr>
      </w:pPr>
    </w:p>
    <w:p>
      <w:pPr>
        <w:pStyle w:val="BodyText"/>
        <w:spacing w:before="5"/>
        <w:ind w:left="0"/>
        <w:rPr>
          <w:rFonts w:ascii="Times New Roman"/>
          <w:sz w:val="24"/>
        </w:rPr>
      </w:pPr>
    </w:p>
    <w:p>
      <w:pPr>
        <w:spacing w:before="100"/>
        <w:ind w:left="120" w:right="0" w:firstLine="0"/>
        <w:jc w:val="left"/>
        <w:rPr>
          <w:sz w:val="30"/>
        </w:rPr>
      </w:pPr>
      <w:r>
        <w:rPr>
          <w:color w:val="B6AA38"/>
          <w:sz w:val="30"/>
        </w:rPr>
        <w:t>Great Bear Rainforest Activity Plan</w:t>
      </w:r>
    </w:p>
    <w:p>
      <w:pPr>
        <w:pStyle w:val="BodyText"/>
        <w:spacing w:before="8"/>
        <w:ind w:left="0"/>
        <w:rPr>
          <w:sz w:val="50"/>
        </w:rPr>
      </w:pPr>
    </w:p>
    <w:p>
      <w:pPr>
        <w:pStyle w:val="Heading1"/>
        <w:spacing w:line="220" w:lineRule="auto"/>
      </w:pPr>
      <w:r>
        <w:rPr>
          <w:color w:val="FFFFFF"/>
        </w:rPr>
        <w:t>In what ways does location affect diversity of plant/algae species?</w:t>
      </w:r>
    </w:p>
    <w:p>
      <w:pPr>
        <w:pStyle w:val="BodyText"/>
        <w:spacing w:before="0"/>
        <w:ind w:left="0"/>
        <w:rPr>
          <w:sz w:val="54"/>
        </w:rPr>
      </w:pPr>
    </w:p>
    <w:p>
      <w:pPr>
        <w:pStyle w:val="BodyText"/>
        <w:spacing w:before="8"/>
        <w:ind w:left="0"/>
        <w:rPr>
          <w:sz w:val="59"/>
        </w:rPr>
      </w:pPr>
    </w:p>
    <w:p>
      <w:pPr>
        <w:pStyle w:val="BodyText"/>
        <w:ind w:left="120"/>
      </w:pPr>
      <w:r>
        <w:rPr>
          <w:color w:val="231F20"/>
        </w:rPr>
        <w:t>In this activity, students will survey the plants in their local area and then compare the diversity of the plants they find to diversity of plants in the Great Bear Rainforest. They will have the opportunity to experience their local environment and use technology to compare their local species to those of the Great Bear Rainforest.</w:t>
      </w:r>
    </w:p>
    <w:p>
      <w:pPr>
        <w:pStyle w:val="BodyText"/>
        <w:spacing w:before="0"/>
        <w:ind w:left="0"/>
        <w:rPr>
          <w:sz w:val="30"/>
        </w:rPr>
      </w:pPr>
    </w:p>
    <w:p>
      <w:pPr>
        <w:pStyle w:val="Heading1"/>
        <w:spacing w:before="220"/>
      </w:pPr>
      <w:r>
        <w:rPr>
          <w:color w:val="2D3D04"/>
        </w:rPr>
        <w:t>Learning Objectives</w:t>
      </w:r>
    </w:p>
    <w:p>
      <w:pPr>
        <w:pStyle w:val="BodyText"/>
        <w:spacing w:before="348"/>
        <w:ind w:left="120"/>
      </w:pPr>
      <w:r>
        <w:rPr>
          <w:color w:val="231F20"/>
        </w:rPr>
        <w:t>Students will:</w:t>
      </w:r>
    </w:p>
    <w:p>
      <w:pPr>
        <w:pStyle w:val="ListParagraph"/>
        <w:numPr>
          <w:ilvl w:val="0"/>
          <w:numId w:val="1"/>
        </w:numPr>
        <w:tabs>
          <w:tab w:pos="749" w:val="left" w:leader="none"/>
          <w:tab w:pos="750" w:val="left" w:leader="none"/>
        </w:tabs>
        <w:spacing w:line="208" w:lineRule="auto" w:before="171" w:after="0"/>
        <w:ind w:left="749" w:right="433" w:hanging="450"/>
        <w:jc w:val="left"/>
        <w:rPr>
          <w:sz w:val="22"/>
        </w:rPr>
      </w:pPr>
      <w:r>
        <w:rPr>
          <w:color w:val="231F20"/>
          <w:sz w:val="22"/>
        </w:rPr>
        <w:t>Make observations aimed at identifying their own questions, including increasingly abstract ones, about the natural world</w:t>
      </w:r>
    </w:p>
    <w:p>
      <w:pPr>
        <w:pStyle w:val="ListParagraph"/>
        <w:numPr>
          <w:ilvl w:val="0"/>
          <w:numId w:val="1"/>
        </w:numPr>
        <w:tabs>
          <w:tab w:pos="749" w:val="left" w:leader="none"/>
          <w:tab w:pos="750" w:val="left" w:leader="none"/>
        </w:tabs>
        <w:spacing w:line="208" w:lineRule="auto" w:before="179" w:after="0"/>
        <w:ind w:left="749" w:right="136" w:hanging="450"/>
        <w:jc w:val="left"/>
        <w:rPr>
          <w:sz w:val="22"/>
        </w:rPr>
      </w:pPr>
      <w:r>
        <w:rPr>
          <w:color w:val="231F20"/>
          <w:sz w:val="22"/>
        </w:rPr>
        <w:t>Collaboratively and individually plan, select, and use appropriate investigation methods, including field work and lab experiments, to collect reliable data (qualitative and quantitative)</w:t>
      </w:r>
    </w:p>
    <w:p>
      <w:pPr>
        <w:pStyle w:val="ListParagraph"/>
        <w:numPr>
          <w:ilvl w:val="0"/>
          <w:numId w:val="1"/>
        </w:numPr>
        <w:tabs>
          <w:tab w:pos="749" w:val="left" w:leader="none"/>
          <w:tab w:pos="750" w:val="left" w:leader="none"/>
        </w:tabs>
        <w:spacing w:line="240" w:lineRule="auto" w:before="147" w:after="0"/>
        <w:ind w:left="749" w:right="0" w:hanging="451"/>
        <w:jc w:val="left"/>
        <w:rPr>
          <w:sz w:val="22"/>
        </w:rPr>
      </w:pPr>
      <w:r>
        <w:rPr>
          <w:color w:val="231F20"/>
          <w:sz w:val="22"/>
        </w:rPr>
        <w:t>Experience and interpret the local</w:t>
      </w:r>
      <w:r>
        <w:rPr>
          <w:color w:val="231F20"/>
          <w:spacing w:val="-1"/>
          <w:sz w:val="22"/>
        </w:rPr>
        <w:t> </w:t>
      </w:r>
      <w:r>
        <w:rPr>
          <w:color w:val="231F20"/>
          <w:sz w:val="22"/>
        </w:rPr>
        <w:t>environment</w:t>
      </w:r>
    </w:p>
    <w:p>
      <w:pPr>
        <w:pStyle w:val="ListParagraph"/>
        <w:numPr>
          <w:ilvl w:val="0"/>
          <w:numId w:val="1"/>
        </w:numPr>
        <w:tabs>
          <w:tab w:pos="749" w:val="left" w:leader="none"/>
          <w:tab w:pos="750" w:val="left" w:leader="none"/>
        </w:tabs>
        <w:spacing w:line="240" w:lineRule="auto" w:before="141" w:after="0"/>
        <w:ind w:left="749" w:right="0" w:hanging="451"/>
        <w:jc w:val="left"/>
        <w:rPr>
          <w:sz w:val="22"/>
        </w:rPr>
      </w:pPr>
      <w:r>
        <w:rPr>
          <w:color w:val="231F20"/>
          <w:sz w:val="22"/>
        </w:rPr>
        <w:t>Cooperatively design projects with local and/or global connections and</w:t>
      </w:r>
      <w:r>
        <w:rPr>
          <w:color w:val="231F20"/>
          <w:spacing w:val="10"/>
          <w:sz w:val="22"/>
        </w:rPr>
        <w:t> </w:t>
      </w:r>
      <w:r>
        <w:rPr>
          <w:color w:val="231F20"/>
          <w:sz w:val="22"/>
        </w:rPr>
        <w:t>applications</w:t>
      </w:r>
    </w:p>
    <w:p>
      <w:pPr>
        <w:pStyle w:val="ListParagraph"/>
        <w:numPr>
          <w:ilvl w:val="0"/>
          <w:numId w:val="1"/>
        </w:numPr>
        <w:tabs>
          <w:tab w:pos="748" w:val="left" w:leader="none"/>
          <w:tab w:pos="749" w:val="left" w:leader="none"/>
        </w:tabs>
        <w:spacing w:line="208" w:lineRule="auto" w:before="171" w:after="0"/>
        <w:ind w:left="748" w:right="689" w:hanging="450"/>
        <w:jc w:val="left"/>
        <w:rPr>
          <w:sz w:val="22"/>
        </w:rPr>
      </w:pPr>
      <w:r>
        <w:rPr>
          <w:color w:val="231F20"/>
          <w:sz w:val="22"/>
        </w:rPr>
        <w:t>Learn about </w:t>
      </w:r>
      <w:r>
        <w:rPr>
          <w:color w:val="231F20"/>
          <w:spacing w:val="2"/>
          <w:sz w:val="22"/>
        </w:rPr>
        <w:t>First </w:t>
      </w:r>
      <w:r>
        <w:rPr>
          <w:color w:val="231F20"/>
          <w:sz w:val="22"/>
        </w:rPr>
        <w:t>Peoples knowledge and other traditional ecological knowledge related to sustaining biodiversity and</w:t>
      </w:r>
      <w:r>
        <w:rPr>
          <w:color w:val="231F20"/>
          <w:spacing w:val="1"/>
          <w:sz w:val="22"/>
        </w:rPr>
        <w:t> </w:t>
      </w:r>
      <w:r>
        <w:rPr>
          <w:color w:val="231F20"/>
          <w:sz w:val="22"/>
        </w:rPr>
        <w:t>ethnobotany</w:t>
      </w:r>
    </w:p>
    <w:p>
      <w:pPr>
        <w:pStyle w:val="ListParagraph"/>
        <w:numPr>
          <w:ilvl w:val="0"/>
          <w:numId w:val="1"/>
        </w:numPr>
        <w:tabs>
          <w:tab w:pos="748" w:val="left" w:leader="none"/>
          <w:tab w:pos="749" w:val="left" w:leader="none"/>
        </w:tabs>
        <w:spacing w:line="240" w:lineRule="auto" w:before="148" w:after="0"/>
        <w:ind w:left="748" w:right="0" w:hanging="451"/>
        <w:jc w:val="left"/>
        <w:rPr>
          <w:sz w:val="22"/>
        </w:rPr>
      </w:pPr>
      <w:r>
        <w:rPr>
          <w:color w:val="231F20"/>
          <w:sz w:val="22"/>
        </w:rPr>
        <w:t>Understand taxonomic principles for classifying organisms</w:t>
      </w:r>
    </w:p>
    <w:p>
      <w:pPr>
        <w:pStyle w:val="ListParagraph"/>
        <w:numPr>
          <w:ilvl w:val="0"/>
          <w:numId w:val="1"/>
        </w:numPr>
        <w:tabs>
          <w:tab w:pos="748" w:val="left" w:leader="none"/>
          <w:tab w:pos="749" w:val="left" w:leader="none"/>
        </w:tabs>
        <w:spacing w:line="240" w:lineRule="auto" w:before="140" w:after="0"/>
        <w:ind w:left="748" w:right="0" w:hanging="451"/>
        <w:jc w:val="left"/>
        <w:rPr>
          <w:sz w:val="22"/>
        </w:rPr>
      </w:pPr>
      <w:r>
        <w:rPr>
          <w:color w:val="231F20"/>
          <w:sz w:val="22"/>
        </w:rPr>
        <w:t>Understand the use of binomial</w:t>
      </w:r>
      <w:r>
        <w:rPr>
          <w:color w:val="231F20"/>
          <w:spacing w:val="-1"/>
          <w:sz w:val="22"/>
        </w:rPr>
        <w:t> </w:t>
      </w:r>
      <w:r>
        <w:rPr>
          <w:color w:val="231F20"/>
          <w:sz w:val="22"/>
        </w:rPr>
        <w:t>nomenclature</w:t>
      </w:r>
    </w:p>
    <w:p>
      <w:pPr>
        <w:pStyle w:val="ListParagraph"/>
        <w:numPr>
          <w:ilvl w:val="0"/>
          <w:numId w:val="1"/>
        </w:numPr>
        <w:tabs>
          <w:tab w:pos="748" w:val="left" w:leader="none"/>
          <w:tab w:pos="749" w:val="left" w:leader="none"/>
        </w:tabs>
        <w:spacing w:line="240" w:lineRule="auto" w:before="141" w:after="0"/>
        <w:ind w:left="748" w:right="0" w:hanging="451"/>
        <w:jc w:val="left"/>
        <w:rPr>
          <w:sz w:val="22"/>
        </w:rPr>
      </w:pPr>
      <w:r>
        <w:rPr>
          <w:color w:val="231F20"/>
          <w:sz w:val="22"/>
        </w:rPr>
        <w:t>See how complex roles and relationships contribute to diversity of</w:t>
      </w:r>
      <w:r>
        <w:rPr>
          <w:color w:val="231F20"/>
          <w:spacing w:val="8"/>
          <w:sz w:val="22"/>
        </w:rPr>
        <w:t> </w:t>
      </w:r>
      <w:r>
        <w:rPr>
          <w:color w:val="231F20"/>
          <w:sz w:val="22"/>
        </w:rPr>
        <w:t>ecosystems</w:t>
      </w:r>
    </w:p>
    <w:p>
      <w:pPr>
        <w:pStyle w:val="ListParagraph"/>
        <w:numPr>
          <w:ilvl w:val="0"/>
          <w:numId w:val="1"/>
        </w:numPr>
        <w:tabs>
          <w:tab w:pos="748" w:val="left" w:leader="none"/>
          <w:tab w:pos="749" w:val="left" w:leader="none"/>
        </w:tabs>
        <w:spacing w:line="240" w:lineRule="auto" w:before="140" w:after="0"/>
        <w:ind w:left="748" w:right="0" w:hanging="451"/>
        <w:jc w:val="left"/>
        <w:rPr>
          <w:sz w:val="22"/>
        </w:rPr>
      </w:pPr>
      <w:r>
        <w:rPr>
          <w:color w:val="231F20"/>
          <w:sz w:val="22"/>
        </w:rPr>
        <w:t>Understand the levels of biotic</w:t>
      </w:r>
      <w:r>
        <w:rPr>
          <w:color w:val="231F20"/>
          <w:spacing w:val="1"/>
          <w:sz w:val="22"/>
        </w:rPr>
        <w:t> </w:t>
      </w:r>
      <w:r>
        <w:rPr>
          <w:color w:val="231F20"/>
          <w:sz w:val="22"/>
        </w:rPr>
        <w:t>diversity</w:t>
      </w:r>
    </w:p>
    <w:p>
      <w:pPr>
        <w:spacing w:after="0" w:line="240" w:lineRule="auto"/>
        <w:jc w:val="left"/>
        <w:rPr>
          <w:sz w:val="22"/>
        </w:rPr>
        <w:sectPr>
          <w:footerReference w:type="default" r:id="rId5"/>
          <w:type w:val="continuous"/>
          <w:pgSz w:w="12240" w:h="15840"/>
          <w:pgMar w:footer="810" w:top="0" w:bottom="1000" w:left="1320" w:right="1240"/>
          <w:pgNumType w:start="1"/>
        </w:sectPr>
      </w:pPr>
    </w:p>
    <w:p>
      <w:pPr>
        <w:pStyle w:val="Heading1"/>
        <w:spacing w:before="78"/>
      </w:pPr>
      <w:r>
        <w:rPr>
          <w:color w:val="2D3D04"/>
        </w:rPr>
        <w:t>Preparing for the Activity Plan</w:t>
      </w:r>
    </w:p>
    <w:p>
      <w:pPr>
        <w:pStyle w:val="ListParagraph"/>
        <w:numPr>
          <w:ilvl w:val="0"/>
          <w:numId w:val="1"/>
        </w:numPr>
        <w:tabs>
          <w:tab w:pos="749" w:val="left" w:leader="none"/>
          <w:tab w:pos="750" w:val="left" w:leader="none"/>
        </w:tabs>
        <w:spacing w:line="208" w:lineRule="auto" w:before="118" w:after="0"/>
        <w:ind w:left="749" w:right="346" w:hanging="450"/>
        <w:jc w:val="left"/>
        <w:rPr>
          <w:sz w:val="22"/>
        </w:rPr>
      </w:pPr>
      <w:r>
        <w:rPr>
          <w:color w:val="231F20"/>
          <w:sz w:val="22"/>
        </w:rPr>
        <w:t>Watch the videos and explore the websites listed below. Find a suitable area in your local community for students’ field</w:t>
      </w:r>
      <w:r>
        <w:rPr>
          <w:color w:val="231F20"/>
          <w:spacing w:val="-1"/>
          <w:sz w:val="22"/>
        </w:rPr>
        <w:t> </w:t>
      </w:r>
      <w:r>
        <w:rPr>
          <w:color w:val="231F20"/>
          <w:sz w:val="22"/>
        </w:rPr>
        <w:t>research.</w:t>
      </w:r>
    </w:p>
    <w:p>
      <w:pPr>
        <w:pStyle w:val="Heading3"/>
        <w:spacing w:before="263"/>
      </w:pPr>
      <w:r>
        <w:rPr>
          <w:color w:val="3E4B17"/>
        </w:rPr>
        <w:t>Materials</w:t>
      </w:r>
    </w:p>
    <w:p>
      <w:pPr>
        <w:pStyle w:val="ListParagraph"/>
        <w:numPr>
          <w:ilvl w:val="0"/>
          <w:numId w:val="1"/>
        </w:numPr>
        <w:tabs>
          <w:tab w:pos="749" w:val="left" w:leader="none"/>
          <w:tab w:pos="750" w:val="left" w:leader="none"/>
        </w:tabs>
        <w:spacing w:line="240" w:lineRule="auto" w:before="81" w:after="0"/>
        <w:ind w:left="749" w:right="0" w:hanging="451"/>
        <w:jc w:val="left"/>
        <w:rPr>
          <w:sz w:val="22"/>
        </w:rPr>
      </w:pPr>
      <w:r>
        <w:rPr>
          <w:color w:val="231F20"/>
          <w:sz w:val="22"/>
        </w:rPr>
        <w:t>computer and</w:t>
      </w:r>
      <w:r>
        <w:rPr>
          <w:color w:val="231F20"/>
          <w:spacing w:val="-1"/>
          <w:sz w:val="22"/>
        </w:rPr>
        <w:t> </w:t>
      </w:r>
      <w:r>
        <w:rPr>
          <w:color w:val="231F20"/>
          <w:sz w:val="22"/>
        </w:rPr>
        <w:t>projector</w:t>
      </w:r>
    </w:p>
    <w:p>
      <w:pPr>
        <w:pStyle w:val="ListParagraph"/>
        <w:numPr>
          <w:ilvl w:val="0"/>
          <w:numId w:val="1"/>
        </w:numPr>
        <w:tabs>
          <w:tab w:pos="749" w:val="left" w:leader="none"/>
          <w:tab w:pos="750" w:val="left" w:leader="none"/>
        </w:tabs>
        <w:spacing w:line="240" w:lineRule="auto" w:before="140" w:after="0"/>
        <w:ind w:left="749" w:right="0" w:hanging="451"/>
        <w:jc w:val="left"/>
        <w:rPr>
          <w:sz w:val="22"/>
        </w:rPr>
      </w:pPr>
      <w:r>
        <w:rPr>
          <w:color w:val="231F20"/>
          <w:sz w:val="22"/>
        </w:rPr>
        <w:t>student computers / tablets/</w:t>
      </w:r>
      <w:r>
        <w:rPr>
          <w:color w:val="231F20"/>
          <w:spacing w:val="-2"/>
          <w:sz w:val="22"/>
        </w:rPr>
        <w:t> </w:t>
      </w:r>
      <w:r>
        <w:rPr>
          <w:color w:val="231F20"/>
          <w:sz w:val="22"/>
        </w:rPr>
        <w:t>devices</w:t>
      </w:r>
    </w:p>
    <w:p>
      <w:pPr>
        <w:pStyle w:val="ListParagraph"/>
        <w:numPr>
          <w:ilvl w:val="0"/>
          <w:numId w:val="1"/>
        </w:numPr>
        <w:tabs>
          <w:tab w:pos="749" w:val="left" w:leader="none"/>
          <w:tab w:pos="750" w:val="left" w:leader="none"/>
        </w:tabs>
        <w:spacing w:line="240" w:lineRule="auto" w:before="141" w:after="0"/>
        <w:ind w:left="749" w:right="0" w:hanging="451"/>
        <w:jc w:val="left"/>
        <w:rPr>
          <w:sz w:val="22"/>
        </w:rPr>
      </w:pPr>
      <w:r>
        <w:rPr>
          <w:color w:val="231F20"/>
          <w:sz w:val="22"/>
        </w:rPr>
        <w:t>access to the Internet</w:t>
      </w:r>
    </w:p>
    <w:p>
      <w:pPr>
        <w:pStyle w:val="ListParagraph"/>
        <w:numPr>
          <w:ilvl w:val="0"/>
          <w:numId w:val="1"/>
        </w:numPr>
        <w:tabs>
          <w:tab w:pos="749" w:val="left" w:leader="none"/>
          <w:tab w:pos="750" w:val="left" w:leader="none"/>
        </w:tabs>
        <w:spacing w:line="240" w:lineRule="auto" w:before="140" w:after="0"/>
        <w:ind w:left="749" w:right="0" w:hanging="451"/>
        <w:jc w:val="left"/>
        <w:rPr>
          <w:sz w:val="22"/>
        </w:rPr>
      </w:pPr>
      <w:r>
        <w:rPr>
          <w:color w:val="231F20"/>
          <w:sz w:val="22"/>
        </w:rPr>
        <w:t>tape or stakes and string to mark out plots</w:t>
      </w:r>
    </w:p>
    <w:p>
      <w:pPr>
        <w:pStyle w:val="ListParagraph"/>
        <w:numPr>
          <w:ilvl w:val="0"/>
          <w:numId w:val="1"/>
        </w:numPr>
        <w:tabs>
          <w:tab w:pos="748" w:val="left" w:leader="none"/>
          <w:tab w:pos="749" w:val="left" w:leader="none"/>
        </w:tabs>
        <w:spacing w:line="240" w:lineRule="auto" w:before="141" w:after="0"/>
        <w:ind w:left="748" w:right="0" w:hanging="450"/>
        <w:jc w:val="left"/>
        <w:rPr>
          <w:sz w:val="22"/>
        </w:rPr>
      </w:pPr>
      <w:r>
        <w:rPr>
          <w:color w:val="231F20"/>
          <w:sz w:val="22"/>
        </w:rPr>
        <w:t>Blackline Master </w:t>
      </w:r>
      <w:r>
        <w:rPr>
          <w:color w:val="231F20"/>
          <w:spacing w:val="-8"/>
          <w:sz w:val="22"/>
        </w:rPr>
        <w:t>1: </w:t>
      </w:r>
      <w:r>
        <w:rPr>
          <w:color w:val="231F20"/>
          <w:sz w:val="22"/>
        </w:rPr>
        <w:t>Diversity of</w:t>
      </w:r>
      <w:r>
        <w:rPr>
          <w:color w:val="231F20"/>
          <w:spacing w:val="8"/>
          <w:sz w:val="22"/>
        </w:rPr>
        <w:t> </w:t>
      </w:r>
      <w:r>
        <w:rPr>
          <w:color w:val="231F20"/>
          <w:sz w:val="22"/>
        </w:rPr>
        <w:t>Species</w:t>
      </w:r>
    </w:p>
    <w:p>
      <w:pPr>
        <w:pStyle w:val="ListParagraph"/>
        <w:numPr>
          <w:ilvl w:val="0"/>
          <w:numId w:val="1"/>
        </w:numPr>
        <w:tabs>
          <w:tab w:pos="748" w:val="left" w:leader="none"/>
          <w:tab w:pos="749" w:val="left" w:leader="none"/>
        </w:tabs>
        <w:spacing w:line="240" w:lineRule="auto" w:before="140" w:after="0"/>
        <w:ind w:left="748" w:right="0" w:hanging="451"/>
        <w:jc w:val="left"/>
        <w:rPr>
          <w:sz w:val="22"/>
        </w:rPr>
      </w:pPr>
      <w:r>
        <w:rPr>
          <w:color w:val="231F20"/>
          <w:sz w:val="22"/>
        </w:rPr>
        <w:t>Blackline Master 2:</w:t>
      </w:r>
      <w:r>
        <w:rPr>
          <w:color w:val="231F20"/>
          <w:spacing w:val="-1"/>
          <w:sz w:val="22"/>
        </w:rPr>
        <w:t> </w:t>
      </w:r>
      <w:r>
        <w:rPr>
          <w:color w:val="231F20"/>
          <w:sz w:val="22"/>
        </w:rPr>
        <w:t>Assessment</w:t>
      </w:r>
    </w:p>
    <w:p>
      <w:pPr>
        <w:pStyle w:val="BodyText"/>
        <w:ind w:left="0"/>
        <w:rPr>
          <w:sz w:val="24"/>
        </w:rPr>
      </w:pPr>
    </w:p>
    <w:p>
      <w:pPr>
        <w:pStyle w:val="Heading1"/>
      </w:pPr>
      <w:r>
        <w:rPr>
          <w:color w:val="2D3D04"/>
        </w:rPr>
        <w:t>Background Information and Resources</w:t>
      </w:r>
    </w:p>
    <w:p>
      <w:pPr>
        <w:pStyle w:val="Heading3"/>
        <w:spacing w:before="202"/>
      </w:pPr>
      <w:r>
        <w:rPr>
          <w:color w:val="3E4B17"/>
        </w:rPr>
        <w:t>Videos</w:t>
      </w:r>
    </w:p>
    <w:p>
      <w:pPr>
        <w:pStyle w:val="Heading4"/>
        <w:spacing w:before="121"/>
        <w:rPr>
          <w:b w:val="0"/>
        </w:rPr>
      </w:pPr>
      <w:r>
        <w:rPr>
          <w:color w:val="231F20"/>
        </w:rPr>
        <w:t>1000s of Bugs, 100 Islands, 1 Happy Entomologist </w:t>
      </w:r>
      <w:r>
        <w:rPr>
          <w:b w:val="0"/>
          <w:color w:val="231F20"/>
        </w:rPr>
        <w:t>(6:08)</w:t>
      </w:r>
    </w:p>
    <w:p>
      <w:pPr>
        <w:pStyle w:val="BodyText"/>
        <w:ind w:left="120" w:right="286"/>
      </w:pPr>
      <w:r>
        <w:rPr>
          <w:color w:val="231F20"/>
        </w:rPr>
        <w:t>This video shows entomologist Chris Ernst at work trying to catalogue all of the insects living around the Central Coast of British Columbia. </w:t>
      </w:r>
      <w:r>
        <w:rPr>
          <w:color w:val="205E9E"/>
          <w:u w:val="single" w:color="205E9E"/>
        </w:rPr>
        <w:t>https://</w:t>
      </w:r>
      <w:hyperlink r:id="rId6">
        <w:r>
          <w:rPr>
            <w:color w:val="205E9E"/>
            <w:u w:val="single" w:color="205E9E"/>
          </w:rPr>
          <w:t>www.youtube.com/watch?v=GV0xfPtW8BU&amp;</w:t>
        </w:r>
      </w:hyperlink>
    </w:p>
    <w:p>
      <w:pPr>
        <w:pStyle w:val="Heading4"/>
        <w:jc w:val="both"/>
        <w:rPr>
          <w:b w:val="0"/>
        </w:rPr>
      </w:pPr>
      <w:r>
        <w:rPr>
          <w:color w:val="231F20"/>
        </w:rPr>
        <w:t>Andy MacKinnon Presents Plants of the Bog </w:t>
      </w:r>
      <w:r>
        <w:rPr>
          <w:b w:val="0"/>
          <w:color w:val="231F20"/>
        </w:rPr>
        <w:t>(4:38)</w:t>
      </w:r>
    </w:p>
    <w:p>
      <w:pPr>
        <w:pStyle w:val="BodyText"/>
        <w:ind w:left="120" w:right="477"/>
        <w:jc w:val="both"/>
      </w:pPr>
      <w:r>
        <w:rPr>
          <w:color w:val="231F20"/>
        </w:rPr>
        <w:t>This video explores plant life found in the Great Bear Rainforest, which includes century- old stunted shore pines, spongy mosses, and interesting plants with fragrant leaves and sticky stems.</w:t>
      </w:r>
    </w:p>
    <w:p>
      <w:pPr>
        <w:pStyle w:val="BodyText"/>
        <w:ind w:left="120"/>
      </w:pPr>
      <w:r>
        <w:rPr>
          <w:color w:val="205E9E"/>
          <w:u w:val="single" w:color="205E9E"/>
        </w:rPr>
        <w:t>https://</w:t>
      </w:r>
      <w:hyperlink r:id="rId7">
        <w:r>
          <w:rPr>
            <w:color w:val="205E9E"/>
            <w:u w:val="single" w:color="205E9E"/>
          </w:rPr>
          <w:t>www.youtube.com/watch?v=kzbhVhXul3E&amp;</w:t>
        </w:r>
      </w:hyperlink>
    </w:p>
    <w:p>
      <w:pPr>
        <w:pStyle w:val="Heading4"/>
        <w:rPr>
          <w:b w:val="0"/>
        </w:rPr>
      </w:pPr>
      <w:r>
        <w:rPr>
          <w:color w:val="231F20"/>
        </w:rPr>
        <w:t>Lichens: Corals of the Forest </w:t>
      </w:r>
      <w:r>
        <w:rPr>
          <w:b w:val="0"/>
          <w:color w:val="231F20"/>
        </w:rPr>
        <w:t>(3:10)</w:t>
      </w:r>
    </w:p>
    <w:p>
      <w:pPr>
        <w:pStyle w:val="BodyText"/>
        <w:spacing w:before="0"/>
        <w:ind w:left="120"/>
      </w:pPr>
      <w:r>
        <w:rPr>
          <w:color w:val="231F20"/>
        </w:rPr>
        <w:t>This video discusses unique plants present in the Great Bear Rainforest, including devil’s matchstick, frog pelt, lungwort, and fairy barf. </w:t>
      </w:r>
      <w:r>
        <w:rPr>
          <w:color w:val="205E9E"/>
          <w:u w:val="single" w:color="205E9E"/>
        </w:rPr>
        <w:t>https://</w:t>
      </w:r>
      <w:hyperlink r:id="rId8">
        <w:r>
          <w:rPr>
            <w:color w:val="205E9E"/>
            <w:u w:val="single" w:color="205E9E"/>
          </w:rPr>
          <w:t>www.youtube.com/watch?v=21Pv1qkFk58&amp;</w:t>
        </w:r>
      </w:hyperlink>
    </w:p>
    <w:p>
      <w:pPr>
        <w:pStyle w:val="Heading4"/>
        <w:jc w:val="both"/>
        <w:rPr>
          <w:b w:val="0"/>
        </w:rPr>
      </w:pPr>
      <w:r>
        <w:rPr>
          <w:color w:val="231F20"/>
        </w:rPr>
        <w:t>What If We Could See Nature in Infrared </w:t>
      </w:r>
      <w:r>
        <w:rPr>
          <w:b w:val="0"/>
          <w:color w:val="231F20"/>
        </w:rPr>
        <w:t>(10:25)</w:t>
      </w:r>
    </w:p>
    <w:p>
      <w:pPr>
        <w:pStyle w:val="BodyText"/>
        <w:ind w:left="119"/>
      </w:pPr>
      <w:r>
        <w:rPr>
          <w:color w:val="231F20"/>
        </w:rPr>
        <w:t>This video uses infrared light to explain why trees and other plants are green. </w:t>
      </w:r>
      <w:r>
        <w:rPr>
          <w:color w:val="205E9E"/>
          <w:u w:val="single" w:color="205E9E"/>
        </w:rPr>
        <w:t>https://</w:t>
      </w:r>
      <w:hyperlink r:id="rId9">
        <w:r>
          <w:rPr>
            <w:color w:val="205E9E"/>
            <w:u w:val="single" w:color="205E9E"/>
          </w:rPr>
          <w:t>www.youtube.com/watch?v=srzniA8EKDk&amp;</w:t>
        </w:r>
      </w:hyperlink>
    </w:p>
    <w:p>
      <w:pPr>
        <w:spacing w:after="0"/>
        <w:sectPr>
          <w:pgSz w:w="12240" w:h="15840"/>
          <w:pgMar w:header="0" w:footer="810" w:top="1240" w:bottom="1000" w:left="1320" w:right="1240"/>
        </w:sectPr>
      </w:pPr>
    </w:p>
    <w:p>
      <w:pPr>
        <w:pStyle w:val="Heading3"/>
      </w:pPr>
      <w:r>
        <w:rPr>
          <w:color w:val="3E4B17"/>
        </w:rPr>
        <w:t>Articles</w:t>
      </w:r>
    </w:p>
    <w:p>
      <w:pPr>
        <w:pStyle w:val="Heading4"/>
        <w:spacing w:before="121"/>
      </w:pPr>
      <w:r>
        <w:rPr>
          <w:color w:val="231F20"/>
        </w:rPr>
        <w:t>Biodiversity of the Central Coast</w:t>
      </w:r>
    </w:p>
    <w:p>
      <w:pPr>
        <w:pStyle w:val="BodyText"/>
        <w:spacing w:before="0"/>
        <w:ind w:left="120"/>
      </w:pPr>
      <w:r>
        <w:rPr>
          <w:color w:val="231F20"/>
        </w:rPr>
        <w:t>This website provides an interactive field guide that can help to identify the species of the many plants and animals found in the Great Bear Rainforest. </w:t>
      </w:r>
      <w:r>
        <w:rPr>
          <w:color w:val="205E9E"/>
          <w:u w:val="single" w:color="205E9E"/>
        </w:rPr>
        <w:t>https://</w:t>
      </w:r>
      <w:hyperlink r:id="rId10">
        <w:r>
          <w:rPr>
            <w:color w:val="205E9E"/>
            <w:u w:val="single" w:color="205E9E"/>
          </w:rPr>
          <w:t>www.centralcoastbiodiversity.org/</w:t>
        </w:r>
      </w:hyperlink>
    </w:p>
    <w:p>
      <w:pPr>
        <w:pStyle w:val="Heading4"/>
      </w:pPr>
      <w:r>
        <w:rPr>
          <w:color w:val="231F20"/>
        </w:rPr>
        <w:t>British Columbia plant Species Codes Version 10</w:t>
      </w:r>
    </w:p>
    <w:p>
      <w:pPr>
        <w:pStyle w:val="BodyText"/>
        <w:ind w:left="120" w:right="286"/>
      </w:pPr>
      <w:r>
        <w:rPr>
          <w:color w:val="231F20"/>
        </w:rPr>
        <w:t>This website provides a list of species found in British Columbia and identifies whether they are native or exotic species.</w:t>
      </w:r>
    </w:p>
    <w:p>
      <w:pPr>
        <w:pStyle w:val="BodyText"/>
        <w:ind w:left="120"/>
      </w:pPr>
      <w:r>
        <w:rPr>
          <w:color w:val="205E9E"/>
          <w:u w:val="single" w:color="205E9E"/>
        </w:rPr>
        <w:t>https://</w:t>
      </w:r>
      <w:hyperlink r:id="rId11">
        <w:r>
          <w:rPr>
            <w:color w:val="205E9E"/>
            <w:u w:val="single" w:color="205E9E"/>
          </w:rPr>
          <w:t>www.for.gov.bc.ca/hre/becweb/resources/codes-standards/standards-species.html</w:t>
        </w:r>
      </w:hyperlink>
    </w:p>
    <w:p>
      <w:pPr>
        <w:pStyle w:val="Heading4"/>
        <w:spacing w:before="180"/>
      </w:pPr>
      <w:r>
        <w:rPr>
          <w:color w:val="231F20"/>
        </w:rPr>
        <w:t>iNaturalist</w:t>
      </w:r>
    </w:p>
    <w:p>
      <w:pPr>
        <w:pStyle w:val="BodyText"/>
        <w:ind w:left="119" w:right="286"/>
      </w:pPr>
      <w:r>
        <w:rPr>
          <w:color w:val="231F20"/>
        </w:rPr>
        <w:t>iNaturalist is an online social network of people sharing biodiversity information to help each other learn about nature. Students must sign up for a free account. </w:t>
      </w:r>
      <w:r>
        <w:rPr>
          <w:color w:val="205E9E"/>
          <w:u w:val="single" w:color="205E9E"/>
        </w:rPr>
        <w:t>https://</w:t>
      </w:r>
      <w:hyperlink r:id="rId12">
        <w:r>
          <w:rPr>
            <w:color w:val="205E9E"/>
            <w:u w:val="single" w:color="205E9E"/>
          </w:rPr>
          <w:t>www.inaturalist.org/</w:t>
        </w:r>
      </w:hyperlink>
    </w:p>
    <w:p>
      <w:pPr>
        <w:pStyle w:val="Heading4"/>
        <w:ind w:left="119"/>
      </w:pPr>
      <w:r>
        <w:rPr>
          <w:color w:val="231F20"/>
        </w:rPr>
        <w:t>eBird</w:t>
      </w:r>
    </w:p>
    <w:p>
      <w:pPr>
        <w:pStyle w:val="BodyText"/>
        <w:ind w:left="119"/>
      </w:pPr>
      <w:r>
        <w:rPr>
          <w:color w:val="231F20"/>
        </w:rPr>
        <w:t>eBird is an online database of bird observations providing scientists, researchers, and amateur naturalists with real-time data about bird distribution and abundance. Students must register for a free account to use this website.</w:t>
      </w:r>
    </w:p>
    <w:p>
      <w:pPr>
        <w:pStyle w:val="BodyText"/>
        <w:ind w:left="119"/>
      </w:pPr>
      <w:r>
        <w:rPr>
          <w:color w:val="205E9E"/>
          <w:u w:val="single" w:color="205E9E"/>
        </w:rPr>
        <w:t>https://ebird.org/home</w:t>
      </w:r>
    </w:p>
    <w:p>
      <w:pPr>
        <w:pStyle w:val="Heading4"/>
        <w:ind w:left="119"/>
      </w:pPr>
      <w:r>
        <w:rPr>
          <w:color w:val="231F20"/>
        </w:rPr>
        <w:t>Ethnobotany</w:t>
      </w:r>
    </w:p>
    <w:p>
      <w:pPr>
        <w:pStyle w:val="BodyText"/>
        <w:spacing w:before="0"/>
        <w:ind w:left="119" w:right="571"/>
      </w:pPr>
      <w:r>
        <w:rPr>
          <w:color w:val="231F20"/>
        </w:rPr>
        <w:t>In this learning experience, students practice ethnobotany. They choose a native plant to study, explore its traditional uses and inquire into ways in which the plant may be restored. Students may also explore sustainable practices that could ensure the plants continued use in the future.</w:t>
      </w:r>
    </w:p>
    <w:p>
      <w:pPr>
        <w:pStyle w:val="BodyText"/>
        <w:spacing w:before="2"/>
        <w:ind w:left="119"/>
      </w:pPr>
      <w:r>
        <w:rPr>
          <w:color w:val="205E9E"/>
          <w:u w:val="single" w:color="205E9E"/>
        </w:rPr>
        <w:t>https://curriculum.gov.bc.ca/instructional-samples/ethnobotany/</w:t>
      </w:r>
    </w:p>
    <w:p>
      <w:pPr>
        <w:spacing w:after="0"/>
        <w:sectPr>
          <w:pgSz w:w="12240" w:h="15840"/>
          <w:pgMar w:header="0" w:footer="810" w:top="1260" w:bottom="1000" w:left="1320" w:right="1240"/>
        </w:sectPr>
      </w:pPr>
    </w:p>
    <w:p>
      <w:pPr>
        <w:pStyle w:val="Heading1"/>
        <w:spacing w:before="84"/>
      </w:pPr>
      <w:r>
        <w:rPr>
          <w:color w:val="003044"/>
        </w:rPr>
        <w:t>Delivering the Activity Plan</w:t>
      </w:r>
    </w:p>
    <w:p>
      <w:pPr>
        <w:pStyle w:val="Heading3"/>
        <w:spacing w:before="202"/>
      </w:pPr>
      <w:r>
        <w:rPr>
          <w:color w:val="3E4B17"/>
        </w:rPr>
        <w:t>Access Prior Knowledge</w:t>
      </w:r>
    </w:p>
    <w:p>
      <w:pPr>
        <w:pStyle w:val="Heading4"/>
        <w:spacing w:before="121"/>
      </w:pPr>
      <w:r>
        <w:rPr>
          <w:color w:val="231F20"/>
        </w:rPr>
        <w:t>Introduction to Stewardship</w:t>
      </w:r>
    </w:p>
    <w:p>
      <w:pPr>
        <w:pStyle w:val="ListParagraph"/>
        <w:numPr>
          <w:ilvl w:val="0"/>
          <w:numId w:val="1"/>
        </w:numPr>
        <w:tabs>
          <w:tab w:pos="749" w:val="left" w:leader="none"/>
          <w:tab w:pos="750" w:val="left" w:leader="none"/>
        </w:tabs>
        <w:spacing w:line="208" w:lineRule="auto" w:before="171" w:after="0"/>
        <w:ind w:left="749" w:right="336" w:hanging="450"/>
        <w:jc w:val="left"/>
        <w:rPr>
          <w:sz w:val="22"/>
        </w:rPr>
      </w:pPr>
      <w:r>
        <w:rPr>
          <w:color w:val="231F20"/>
          <w:sz w:val="22"/>
        </w:rPr>
        <w:t>Display </w:t>
      </w:r>
      <w:r>
        <w:rPr>
          <w:color w:val="231F20"/>
          <w:spacing w:val="3"/>
          <w:sz w:val="22"/>
        </w:rPr>
        <w:t>two </w:t>
      </w:r>
      <w:r>
        <w:rPr>
          <w:color w:val="231F20"/>
          <w:sz w:val="22"/>
        </w:rPr>
        <w:t>images for students: one of a bird’s eye view of your area, and a second bird’s eye view of the Great Bear Rainforest (examples are provided below).</w:t>
      </w:r>
    </w:p>
    <w:p>
      <w:pPr>
        <w:pStyle w:val="BodyText"/>
        <w:spacing w:before="11"/>
        <w:ind w:left="0"/>
        <w:rPr>
          <w:sz w:val="35"/>
        </w:rPr>
      </w:pPr>
    </w:p>
    <w:p>
      <w:pPr>
        <w:pStyle w:val="BodyText"/>
        <w:ind w:left="119"/>
      </w:pPr>
      <w:r>
        <w:rPr>
          <w:b/>
          <w:color w:val="231F20"/>
        </w:rPr>
        <w:t>Example: </w:t>
      </w:r>
      <w:r>
        <w:rPr>
          <w:color w:val="231F20"/>
        </w:rPr>
        <w:t>Bird’s eye view of Great Bear Rainforest (earth.google.com)</w:t>
      </w:r>
    </w:p>
    <w:p>
      <w:pPr>
        <w:pStyle w:val="BodyText"/>
        <w:spacing w:before="8"/>
        <w:ind w:left="0"/>
        <w:rPr>
          <w:sz w:val="27"/>
        </w:rPr>
      </w:pPr>
      <w:r>
        <w:rPr/>
        <w:drawing>
          <wp:anchor distT="0" distB="0" distL="0" distR="0" allowOverlap="1" layoutInCell="1" locked="0" behindDoc="0" simplePos="0" relativeHeight="1">
            <wp:simplePos x="0" y="0"/>
            <wp:positionH relativeFrom="page">
              <wp:posOffset>1028407</wp:posOffset>
            </wp:positionH>
            <wp:positionV relativeFrom="paragraph">
              <wp:posOffset>263683</wp:posOffset>
            </wp:positionV>
            <wp:extent cx="5754016" cy="2381250"/>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13" cstate="print"/>
                    <a:stretch>
                      <a:fillRect/>
                    </a:stretch>
                  </pic:blipFill>
                  <pic:spPr>
                    <a:xfrm>
                      <a:off x="0" y="0"/>
                      <a:ext cx="5754016" cy="2381250"/>
                    </a:xfrm>
                    <a:prstGeom prst="rect">
                      <a:avLst/>
                    </a:prstGeom>
                  </pic:spPr>
                </pic:pic>
              </a:graphicData>
            </a:graphic>
          </wp:anchor>
        </w:drawing>
      </w:r>
    </w:p>
    <w:p>
      <w:pPr>
        <w:pStyle w:val="BodyText"/>
        <w:spacing w:before="0"/>
        <w:ind w:left="0"/>
        <w:rPr>
          <w:sz w:val="20"/>
        </w:rPr>
      </w:pPr>
    </w:p>
    <w:p>
      <w:pPr>
        <w:pStyle w:val="BodyText"/>
        <w:ind w:left="0"/>
        <w:rPr>
          <w:sz w:val="20"/>
        </w:rPr>
      </w:pPr>
    </w:p>
    <w:p>
      <w:pPr>
        <w:pStyle w:val="BodyText"/>
        <w:ind w:left="120"/>
      </w:pPr>
      <w:r>
        <w:rPr>
          <w:b/>
          <w:color w:val="231F20"/>
        </w:rPr>
        <w:t>Example: </w:t>
      </w:r>
      <w:r>
        <w:rPr>
          <w:color w:val="231F20"/>
        </w:rPr>
        <w:t>Bird’s eye view of local community (earth.google.com)</w:t>
      </w:r>
    </w:p>
    <w:p>
      <w:pPr>
        <w:pStyle w:val="BodyText"/>
        <w:spacing w:before="7"/>
        <w:ind w:left="0"/>
        <w:rPr>
          <w:sz w:val="27"/>
        </w:rPr>
      </w:pPr>
      <w:r>
        <w:rPr/>
        <w:drawing>
          <wp:anchor distT="0" distB="0" distL="0" distR="0" allowOverlap="1" layoutInCell="1" locked="0" behindDoc="0" simplePos="0" relativeHeight="2">
            <wp:simplePos x="0" y="0"/>
            <wp:positionH relativeFrom="page">
              <wp:posOffset>1048156</wp:posOffset>
            </wp:positionH>
            <wp:positionV relativeFrom="paragraph">
              <wp:posOffset>263308</wp:posOffset>
            </wp:positionV>
            <wp:extent cx="5704497" cy="2509837"/>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14" cstate="print"/>
                    <a:stretch>
                      <a:fillRect/>
                    </a:stretch>
                  </pic:blipFill>
                  <pic:spPr>
                    <a:xfrm>
                      <a:off x="0" y="0"/>
                      <a:ext cx="5704497" cy="2509837"/>
                    </a:xfrm>
                    <a:prstGeom prst="rect">
                      <a:avLst/>
                    </a:prstGeom>
                  </pic:spPr>
                </pic:pic>
              </a:graphicData>
            </a:graphic>
          </wp:anchor>
        </w:drawing>
      </w:r>
    </w:p>
    <w:p>
      <w:pPr>
        <w:spacing w:after="0"/>
        <w:rPr>
          <w:sz w:val="27"/>
        </w:rPr>
        <w:sectPr>
          <w:pgSz w:w="12240" w:h="15840"/>
          <w:pgMar w:header="0" w:footer="810" w:top="1220" w:bottom="1000" w:left="1320" w:right="1240"/>
        </w:sectPr>
      </w:pPr>
    </w:p>
    <w:p>
      <w:pPr>
        <w:pStyle w:val="ListParagraph"/>
        <w:numPr>
          <w:ilvl w:val="0"/>
          <w:numId w:val="1"/>
        </w:numPr>
        <w:tabs>
          <w:tab w:pos="749" w:val="left" w:leader="none"/>
          <w:tab w:pos="750" w:val="left" w:leader="none"/>
        </w:tabs>
        <w:spacing w:line="240" w:lineRule="auto" w:before="80" w:after="0"/>
        <w:ind w:left="749" w:right="0" w:hanging="451"/>
        <w:jc w:val="left"/>
        <w:rPr>
          <w:sz w:val="22"/>
        </w:rPr>
      </w:pPr>
      <w:r>
        <w:rPr>
          <w:color w:val="231F20"/>
          <w:sz w:val="22"/>
        </w:rPr>
        <w:t>Have students discuss the similarities and differences between the</w:t>
      </w:r>
      <w:r>
        <w:rPr>
          <w:color w:val="231F20"/>
          <w:spacing w:val="6"/>
          <w:sz w:val="22"/>
        </w:rPr>
        <w:t> </w:t>
      </w:r>
      <w:r>
        <w:rPr>
          <w:color w:val="231F20"/>
          <w:sz w:val="22"/>
        </w:rPr>
        <w:t>two.</w:t>
      </w:r>
    </w:p>
    <w:p>
      <w:pPr>
        <w:pStyle w:val="ListParagraph"/>
        <w:numPr>
          <w:ilvl w:val="0"/>
          <w:numId w:val="1"/>
        </w:numPr>
        <w:tabs>
          <w:tab w:pos="749" w:val="left" w:leader="none"/>
          <w:tab w:pos="750" w:val="left" w:leader="none"/>
        </w:tabs>
        <w:spacing w:line="240" w:lineRule="auto" w:before="140" w:after="0"/>
        <w:ind w:left="749" w:right="0" w:hanging="451"/>
        <w:jc w:val="left"/>
        <w:rPr>
          <w:sz w:val="22"/>
        </w:rPr>
      </w:pPr>
      <w:r>
        <w:rPr>
          <w:color w:val="231F20"/>
          <w:sz w:val="22"/>
        </w:rPr>
        <w:t>Bring up the term “diversity.” Have the students discuss what this</w:t>
      </w:r>
      <w:r>
        <w:rPr>
          <w:color w:val="231F20"/>
          <w:spacing w:val="3"/>
          <w:sz w:val="22"/>
        </w:rPr>
        <w:t> </w:t>
      </w:r>
      <w:r>
        <w:rPr>
          <w:color w:val="231F20"/>
          <w:sz w:val="22"/>
        </w:rPr>
        <w:t>means.</w:t>
      </w:r>
    </w:p>
    <w:p>
      <w:pPr>
        <w:pStyle w:val="ListParagraph"/>
        <w:numPr>
          <w:ilvl w:val="0"/>
          <w:numId w:val="1"/>
        </w:numPr>
        <w:tabs>
          <w:tab w:pos="749" w:val="left" w:leader="none"/>
          <w:tab w:pos="750" w:val="left" w:leader="none"/>
        </w:tabs>
        <w:spacing w:line="208" w:lineRule="auto" w:before="171" w:after="0"/>
        <w:ind w:left="749" w:right="422" w:hanging="450"/>
        <w:jc w:val="left"/>
        <w:rPr>
          <w:sz w:val="22"/>
        </w:rPr>
      </w:pPr>
      <w:r>
        <w:rPr>
          <w:color w:val="231F20"/>
          <w:sz w:val="22"/>
        </w:rPr>
        <w:t>Have students look at the images again, but this time ask them to think about the diversity in each. Do they notice any differences right </w:t>
      </w:r>
      <w:r>
        <w:rPr>
          <w:color w:val="231F20"/>
          <w:spacing w:val="-3"/>
          <w:sz w:val="22"/>
        </w:rPr>
        <w:t>away? </w:t>
      </w:r>
      <w:r>
        <w:rPr>
          <w:color w:val="231F20"/>
          <w:sz w:val="22"/>
        </w:rPr>
        <w:t>Or do they look similar at first</w:t>
      </w:r>
      <w:r>
        <w:rPr>
          <w:color w:val="231F20"/>
          <w:spacing w:val="-1"/>
          <w:sz w:val="22"/>
        </w:rPr>
        <w:t> </w:t>
      </w:r>
      <w:r>
        <w:rPr>
          <w:color w:val="231F20"/>
          <w:sz w:val="22"/>
        </w:rPr>
        <w:t>glance?</w:t>
      </w:r>
    </w:p>
    <w:p>
      <w:pPr>
        <w:pStyle w:val="Heading3"/>
        <w:spacing w:before="262"/>
      </w:pPr>
      <w:r>
        <w:rPr>
          <w:color w:val="3E4B17"/>
        </w:rPr>
        <w:t>Inquire</w:t>
      </w:r>
    </w:p>
    <w:p>
      <w:pPr>
        <w:pStyle w:val="ListParagraph"/>
        <w:numPr>
          <w:ilvl w:val="0"/>
          <w:numId w:val="1"/>
        </w:numPr>
        <w:tabs>
          <w:tab w:pos="749" w:val="left" w:leader="none"/>
          <w:tab w:pos="750" w:val="left" w:leader="none"/>
        </w:tabs>
        <w:spacing w:line="208" w:lineRule="auto" w:before="112" w:after="0"/>
        <w:ind w:left="749" w:right="379" w:hanging="450"/>
        <w:jc w:val="left"/>
        <w:rPr>
          <w:sz w:val="22"/>
        </w:rPr>
      </w:pPr>
      <w:r>
        <w:rPr>
          <w:color w:val="231F20"/>
          <w:spacing w:val="-8"/>
          <w:sz w:val="22"/>
        </w:rPr>
        <w:t>To </w:t>
      </w:r>
      <w:r>
        <w:rPr>
          <w:color w:val="231F20"/>
          <w:sz w:val="22"/>
        </w:rPr>
        <w:t>give students more of a close-up look at the species in the Great Bear Rainforest rather than the bird’s eye view they previously saw, show the class the following videos:</w:t>
      </w:r>
    </w:p>
    <w:p>
      <w:pPr>
        <w:pStyle w:val="BodyText"/>
        <w:tabs>
          <w:tab w:pos="1469" w:val="left" w:leader="none"/>
        </w:tabs>
        <w:spacing w:before="168"/>
        <w:ind w:left="1109"/>
      </w:pPr>
      <w:r>
        <w:rPr>
          <w:rFonts w:ascii="Myriad Pro" w:hAnsi="Myriad Pro"/>
          <w:color w:val="231F20"/>
        </w:rPr>
        <w:t>»</w:t>
        <w:tab/>
      </w:r>
      <w:hyperlink r:id="rId15">
        <w:r>
          <w:rPr>
            <w:color w:val="205E9E"/>
            <w:u w:val="single" w:color="205E9E"/>
          </w:rPr>
          <w:t>Andy MacKinnon Presents Plants of the</w:t>
        </w:r>
        <w:r>
          <w:rPr>
            <w:color w:val="205E9E"/>
            <w:spacing w:val="1"/>
            <w:u w:val="single" w:color="205E9E"/>
          </w:rPr>
          <w:t> </w:t>
        </w:r>
        <w:r>
          <w:rPr>
            <w:color w:val="205E9E"/>
            <w:u w:val="single" w:color="205E9E"/>
          </w:rPr>
          <w:t>Bog</w:t>
        </w:r>
      </w:hyperlink>
      <w:r>
        <w:rPr>
          <w:color w:val="231F20"/>
        </w:rPr>
        <w:t>,</w:t>
      </w:r>
    </w:p>
    <w:p>
      <w:pPr>
        <w:pStyle w:val="BodyText"/>
        <w:tabs>
          <w:tab w:pos="1469" w:val="left" w:leader="none"/>
        </w:tabs>
        <w:spacing w:before="160"/>
        <w:ind w:left="1109"/>
      </w:pPr>
      <w:r>
        <w:rPr>
          <w:rFonts w:ascii="Myriad Pro" w:hAnsi="Myriad Pro"/>
          <w:color w:val="231F20"/>
        </w:rPr>
        <w:t>»</w:t>
        <w:tab/>
      </w:r>
      <w:hyperlink r:id="rId16">
        <w:r>
          <w:rPr>
            <w:color w:val="205E9E"/>
            <w:u w:val="single" w:color="205E9E"/>
          </w:rPr>
          <w:t>Lichens: Corals of the Forest</w:t>
        </w:r>
      </w:hyperlink>
    </w:p>
    <w:p>
      <w:pPr>
        <w:pStyle w:val="BodyText"/>
        <w:tabs>
          <w:tab w:pos="1469" w:val="left" w:leader="none"/>
        </w:tabs>
        <w:spacing w:before="160"/>
        <w:ind w:left="1109"/>
      </w:pPr>
      <w:r>
        <w:rPr>
          <w:rFonts w:ascii="Myriad Pro" w:hAnsi="Myriad Pro"/>
          <w:color w:val="231F20"/>
        </w:rPr>
        <w:t>»</w:t>
        <w:tab/>
      </w:r>
      <w:hyperlink r:id="rId17">
        <w:r>
          <w:rPr>
            <w:color w:val="205E9E"/>
            <w:u w:val="single" w:color="205E9E"/>
          </w:rPr>
          <w:t>1000s of Bugs, </w:t>
        </w:r>
        <w:r>
          <w:rPr>
            <w:color w:val="205E9E"/>
            <w:spacing w:val="-2"/>
            <w:u w:val="single" w:color="205E9E"/>
          </w:rPr>
          <w:t>100 </w:t>
        </w:r>
        <w:r>
          <w:rPr>
            <w:color w:val="205E9E"/>
            <w:u w:val="single" w:color="205E9E"/>
          </w:rPr>
          <w:t>Islands, 1 Happy</w:t>
        </w:r>
        <w:r>
          <w:rPr>
            <w:color w:val="205E9E"/>
            <w:spacing w:val="2"/>
            <w:u w:val="single" w:color="205E9E"/>
          </w:rPr>
          <w:t> </w:t>
        </w:r>
        <w:r>
          <w:rPr>
            <w:color w:val="205E9E"/>
            <w:u w:val="single" w:color="205E9E"/>
          </w:rPr>
          <w:t>Entomologist</w:t>
        </w:r>
      </w:hyperlink>
    </w:p>
    <w:p>
      <w:pPr>
        <w:pStyle w:val="ListParagraph"/>
        <w:numPr>
          <w:ilvl w:val="0"/>
          <w:numId w:val="1"/>
        </w:numPr>
        <w:tabs>
          <w:tab w:pos="749" w:val="left" w:leader="none"/>
          <w:tab w:pos="750" w:val="left" w:leader="none"/>
        </w:tabs>
        <w:spacing w:line="208" w:lineRule="auto" w:before="171" w:after="0"/>
        <w:ind w:left="749" w:right="423" w:hanging="450"/>
        <w:jc w:val="left"/>
        <w:rPr>
          <w:sz w:val="22"/>
        </w:rPr>
      </w:pPr>
      <w:r>
        <w:rPr>
          <w:color w:val="231F20"/>
          <w:sz w:val="22"/>
        </w:rPr>
        <w:t>After viewing, discuss as a class how students think your local landscape compares to the Great Bear Rainforest. What areas of your landscape do they think are the most similar to the Great Bear Rainforest? Which are the least </w:t>
      </w:r>
      <w:r>
        <w:rPr>
          <w:color w:val="231F20"/>
          <w:spacing w:val="-3"/>
          <w:sz w:val="22"/>
        </w:rPr>
        <w:t>similar?</w:t>
      </w:r>
    </w:p>
    <w:p>
      <w:pPr>
        <w:pStyle w:val="Heading3"/>
        <w:spacing w:before="262"/>
      </w:pPr>
      <w:r>
        <w:rPr>
          <w:color w:val="3E4B17"/>
        </w:rPr>
        <w:t>Experience</w:t>
      </w:r>
    </w:p>
    <w:p>
      <w:pPr>
        <w:pStyle w:val="Heading4"/>
        <w:spacing w:before="121"/>
      </w:pPr>
      <w:r>
        <w:rPr>
          <w:color w:val="231F20"/>
        </w:rPr>
        <w:t>Stewardship in the Great Bear Rainforest</w:t>
      </w:r>
    </w:p>
    <w:p>
      <w:pPr>
        <w:pStyle w:val="ListParagraph"/>
        <w:numPr>
          <w:ilvl w:val="0"/>
          <w:numId w:val="1"/>
        </w:numPr>
        <w:tabs>
          <w:tab w:pos="749" w:val="left" w:leader="none"/>
          <w:tab w:pos="750" w:val="left" w:leader="none"/>
        </w:tabs>
        <w:spacing w:line="208" w:lineRule="auto" w:before="171" w:after="0"/>
        <w:ind w:left="749" w:right="781" w:hanging="450"/>
        <w:jc w:val="left"/>
        <w:rPr>
          <w:sz w:val="22"/>
        </w:rPr>
      </w:pPr>
      <w:r>
        <w:rPr>
          <w:color w:val="231F20"/>
          <w:sz w:val="22"/>
        </w:rPr>
        <w:t>Students will complete a survey of the biodiversity of their local landscape. This survey could include just trees or other groups of</w:t>
      </w:r>
      <w:r>
        <w:rPr>
          <w:color w:val="231F20"/>
          <w:spacing w:val="-1"/>
          <w:sz w:val="22"/>
        </w:rPr>
        <w:t> </w:t>
      </w:r>
      <w:r>
        <w:rPr>
          <w:color w:val="231F20"/>
          <w:sz w:val="22"/>
        </w:rPr>
        <w:t>plants/animals.</w:t>
      </w:r>
    </w:p>
    <w:p>
      <w:pPr>
        <w:pStyle w:val="ListParagraph"/>
        <w:numPr>
          <w:ilvl w:val="0"/>
          <w:numId w:val="1"/>
        </w:numPr>
        <w:tabs>
          <w:tab w:pos="749" w:val="left" w:leader="none"/>
          <w:tab w:pos="750" w:val="left" w:leader="none"/>
        </w:tabs>
        <w:spacing w:line="240" w:lineRule="auto" w:before="148" w:after="0"/>
        <w:ind w:left="749" w:right="0" w:hanging="451"/>
        <w:jc w:val="left"/>
        <w:rPr>
          <w:sz w:val="22"/>
        </w:rPr>
      </w:pPr>
      <w:r>
        <w:rPr>
          <w:color w:val="231F20"/>
          <w:sz w:val="22"/>
        </w:rPr>
        <w:t>Divide the class into small groups to </w:t>
      </w:r>
      <w:r>
        <w:rPr>
          <w:color w:val="231F20"/>
          <w:spacing w:val="3"/>
          <w:sz w:val="22"/>
        </w:rPr>
        <w:t>carry </w:t>
      </w:r>
      <w:r>
        <w:rPr>
          <w:color w:val="231F20"/>
          <w:sz w:val="22"/>
        </w:rPr>
        <w:t>out field</w:t>
      </w:r>
      <w:r>
        <w:rPr>
          <w:color w:val="231F20"/>
          <w:spacing w:val="-4"/>
          <w:sz w:val="22"/>
        </w:rPr>
        <w:t> </w:t>
      </w:r>
      <w:r>
        <w:rPr>
          <w:color w:val="231F20"/>
          <w:sz w:val="22"/>
        </w:rPr>
        <w:t>research.</w:t>
      </w:r>
    </w:p>
    <w:p>
      <w:pPr>
        <w:pStyle w:val="ListParagraph"/>
        <w:numPr>
          <w:ilvl w:val="0"/>
          <w:numId w:val="1"/>
        </w:numPr>
        <w:tabs>
          <w:tab w:pos="749" w:val="left" w:leader="none"/>
          <w:tab w:pos="750" w:val="left" w:leader="none"/>
        </w:tabs>
        <w:spacing w:line="208" w:lineRule="auto" w:before="171" w:after="0"/>
        <w:ind w:left="749" w:right="494" w:hanging="450"/>
        <w:jc w:val="left"/>
        <w:rPr>
          <w:sz w:val="22"/>
        </w:rPr>
      </w:pPr>
      <w:r>
        <w:rPr>
          <w:color w:val="231F20"/>
          <w:spacing w:val="-6"/>
          <w:sz w:val="22"/>
        </w:rPr>
        <w:t>Take </w:t>
      </w:r>
      <w:r>
        <w:rPr>
          <w:color w:val="231F20"/>
          <w:sz w:val="22"/>
        </w:rPr>
        <w:t>students out into the local environment and assign each group a plot of land. (For each group, you could tape off an area or plant a stake, </w:t>
      </w:r>
      <w:r>
        <w:rPr>
          <w:color w:val="231F20"/>
          <w:spacing w:val="2"/>
          <w:sz w:val="22"/>
        </w:rPr>
        <w:t>attach </w:t>
      </w:r>
      <w:r>
        <w:rPr>
          <w:color w:val="231F20"/>
          <w:sz w:val="22"/>
        </w:rPr>
        <w:t>a string, and delineate a perimeter by walking in a</w:t>
      </w:r>
      <w:r>
        <w:rPr>
          <w:color w:val="231F20"/>
          <w:spacing w:val="-5"/>
          <w:sz w:val="22"/>
        </w:rPr>
        <w:t> </w:t>
      </w:r>
      <w:r>
        <w:rPr>
          <w:color w:val="231F20"/>
          <w:sz w:val="22"/>
        </w:rPr>
        <w:t>circle.)</w:t>
      </w:r>
    </w:p>
    <w:p>
      <w:pPr>
        <w:pStyle w:val="ListParagraph"/>
        <w:numPr>
          <w:ilvl w:val="0"/>
          <w:numId w:val="1"/>
        </w:numPr>
        <w:tabs>
          <w:tab w:pos="749" w:val="left" w:leader="none"/>
          <w:tab w:pos="750" w:val="left" w:leader="none"/>
        </w:tabs>
        <w:spacing w:line="208" w:lineRule="auto" w:before="178" w:after="0"/>
        <w:ind w:left="749" w:right="582" w:hanging="450"/>
        <w:jc w:val="left"/>
        <w:rPr>
          <w:sz w:val="22"/>
        </w:rPr>
      </w:pPr>
      <w:r>
        <w:rPr>
          <w:color w:val="231F20"/>
          <w:sz w:val="22"/>
        </w:rPr>
        <w:t>Have students record each different species they observe by taking photographs, and also count and record how many of each they</w:t>
      </w:r>
      <w:r>
        <w:rPr>
          <w:color w:val="231F20"/>
          <w:spacing w:val="-3"/>
          <w:sz w:val="22"/>
        </w:rPr>
        <w:t> </w:t>
      </w:r>
      <w:r>
        <w:rPr>
          <w:color w:val="231F20"/>
          <w:sz w:val="22"/>
        </w:rPr>
        <w:t>see.</w:t>
      </w:r>
    </w:p>
    <w:p>
      <w:pPr>
        <w:pStyle w:val="ListParagraph"/>
        <w:numPr>
          <w:ilvl w:val="0"/>
          <w:numId w:val="1"/>
        </w:numPr>
        <w:tabs>
          <w:tab w:pos="748" w:val="left" w:leader="none"/>
          <w:tab w:pos="749" w:val="left" w:leader="none"/>
        </w:tabs>
        <w:spacing w:line="208" w:lineRule="auto" w:before="179" w:after="0"/>
        <w:ind w:left="748" w:right="385" w:hanging="450"/>
        <w:jc w:val="left"/>
        <w:rPr>
          <w:sz w:val="22"/>
        </w:rPr>
      </w:pPr>
      <w:r>
        <w:rPr>
          <w:color w:val="231F20"/>
          <w:sz w:val="22"/>
        </w:rPr>
        <w:t>Once back in the classroom, have students use</w:t>
      </w:r>
      <w:r>
        <w:rPr>
          <w:color w:val="205E9E"/>
          <w:sz w:val="22"/>
        </w:rPr>
        <w:t> </w:t>
      </w:r>
      <w:hyperlink r:id="rId18">
        <w:r>
          <w:rPr>
            <w:color w:val="205E9E"/>
            <w:sz w:val="22"/>
            <w:u w:val="single" w:color="205E9E"/>
          </w:rPr>
          <w:t>iNaturalist</w:t>
        </w:r>
        <w:r>
          <w:rPr>
            <w:color w:val="205E9E"/>
            <w:sz w:val="22"/>
          </w:rPr>
          <w:t> </w:t>
        </w:r>
      </w:hyperlink>
      <w:r>
        <w:rPr>
          <w:color w:val="231F20"/>
          <w:sz w:val="22"/>
        </w:rPr>
        <w:t>to determine the species they photographed.</w:t>
      </w:r>
    </w:p>
    <w:p>
      <w:pPr>
        <w:pStyle w:val="ListParagraph"/>
        <w:numPr>
          <w:ilvl w:val="0"/>
          <w:numId w:val="1"/>
        </w:numPr>
        <w:tabs>
          <w:tab w:pos="749" w:val="left" w:leader="none"/>
        </w:tabs>
        <w:spacing w:line="208" w:lineRule="auto" w:before="179" w:after="0"/>
        <w:ind w:left="748" w:right="768" w:hanging="450"/>
        <w:jc w:val="both"/>
        <w:rPr>
          <w:sz w:val="22"/>
        </w:rPr>
      </w:pPr>
      <w:r>
        <w:rPr>
          <w:color w:val="231F20"/>
          <w:sz w:val="22"/>
        </w:rPr>
        <w:t>Provide each student with Blackline Master </w:t>
      </w:r>
      <w:r>
        <w:rPr>
          <w:color w:val="231F20"/>
          <w:spacing w:val="-8"/>
          <w:sz w:val="22"/>
        </w:rPr>
        <w:t>1: </w:t>
      </w:r>
      <w:r>
        <w:rPr>
          <w:color w:val="231F20"/>
          <w:sz w:val="22"/>
        </w:rPr>
        <w:t>Diversity of Species (below). Have students record the names of the different species and how many of each were present in the area they</w:t>
      </w:r>
      <w:r>
        <w:rPr>
          <w:color w:val="231F20"/>
          <w:spacing w:val="-1"/>
          <w:sz w:val="22"/>
        </w:rPr>
        <w:t> </w:t>
      </w:r>
      <w:r>
        <w:rPr>
          <w:color w:val="231F20"/>
          <w:sz w:val="22"/>
        </w:rPr>
        <w:t>examined.</w:t>
      </w:r>
    </w:p>
    <w:p>
      <w:pPr>
        <w:spacing w:after="0" w:line="208" w:lineRule="auto"/>
        <w:jc w:val="both"/>
        <w:rPr>
          <w:sz w:val="22"/>
        </w:rPr>
        <w:sectPr>
          <w:pgSz w:w="12240" w:h="15840"/>
          <w:pgMar w:header="0" w:footer="810" w:top="1280" w:bottom="1000" w:left="1320" w:right="1240"/>
        </w:sectPr>
      </w:pPr>
    </w:p>
    <w:p>
      <w:pPr>
        <w:pStyle w:val="Heading3"/>
      </w:pPr>
      <w:r>
        <w:rPr>
          <w:color w:val="3E4B17"/>
        </w:rPr>
        <w:t>Explore</w:t>
      </w:r>
    </w:p>
    <w:p>
      <w:pPr>
        <w:pStyle w:val="ListParagraph"/>
        <w:numPr>
          <w:ilvl w:val="0"/>
          <w:numId w:val="1"/>
        </w:numPr>
        <w:tabs>
          <w:tab w:pos="749" w:val="left" w:leader="none"/>
          <w:tab w:pos="750" w:val="left" w:leader="none"/>
        </w:tabs>
        <w:spacing w:line="208" w:lineRule="auto" w:before="111" w:after="0"/>
        <w:ind w:left="749" w:right="478" w:hanging="450"/>
        <w:jc w:val="left"/>
        <w:rPr>
          <w:sz w:val="22"/>
        </w:rPr>
      </w:pPr>
      <w:r>
        <w:rPr>
          <w:color w:val="231F20"/>
          <w:sz w:val="22"/>
        </w:rPr>
        <w:t>Have students conduct research to find out about the species present in the Great Bear</w:t>
      </w:r>
      <w:r>
        <w:rPr>
          <w:color w:val="231F20"/>
          <w:spacing w:val="-1"/>
          <w:sz w:val="22"/>
        </w:rPr>
        <w:t> </w:t>
      </w:r>
      <w:r>
        <w:rPr>
          <w:color w:val="231F20"/>
          <w:sz w:val="22"/>
        </w:rPr>
        <w:t>Rainforest.</w:t>
      </w:r>
    </w:p>
    <w:p>
      <w:pPr>
        <w:pStyle w:val="ListParagraph"/>
        <w:numPr>
          <w:ilvl w:val="0"/>
          <w:numId w:val="1"/>
        </w:numPr>
        <w:tabs>
          <w:tab w:pos="749" w:val="left" w:leader="none"/>
          <w:tab w:pos="750" w:val="left" w:leader="none"/>
        </w:tabs>
        <w:spacing w:line="208" w:lineRule="auto" w:before="179" w:after="0"/>
        <w:ind w:left="749" w:right="316" w:hanging="450"/>
        <w:jc w:val="left"/>
        <w:rPr>
          <w:sz w:val="22"/>
        </w:rPr>
      </w:pPr>
      <w:r>
        <w:rPr>
          <w:color w:val="231F20"/>
          <w:sz w:val="22"/>
        </w:rPr>
        <w:t>Have students either use</w:t>
      </w:r>
      <w:r>
        <w:rPr>
          <w:color w:val="205E9E"/>
          <w:sz w:val="22"/>
        </w:rPr>
        <w:t> </w:t>
      </w:r>
      <w:hyperlink r:id="rId18">
        <w:r>
          <w:rPr>
            <w:color w:val="205E9E"/>
            <w:sz w:val="22"/>
            <w:u w:val="single" w:color="205E9E"/>
          </w:rPr>
          <w:t>iNaturalist</w:t>
        </w:r>
      </w:hyperlink>
      <w:r>
        <w:rPr>
          <w:color w:val="205E9E"/>
          <w:sz w:val="22"/>
        </w:rPr>
        <w:t> </w:t>
      </w:r>
      <w:r>
        <w:rPr>
          <w:color w:val="231F20"/>
          <w:sz w:val="22"/>
        </w:rPr>
        <w:t>or go to</w:t>
      </w:r>
      <w:hyperlink r:id="rId19">
        <w:r>
          <w:rPr>
            <w:color w:val="205E9E"/>
            <w:sz w:val="22"/>
          </w:rPr>
          <w:t> </w:t>
        </w:r>
        <w:r>
          <w:rPr>
            <w:color w:val="205E9E"/>
            <w:sz w:val="22"/>
            <w:u w:val="single" w:color="205E9E"/>
          </w:rPr>
          <w:t>Biodiversity of the Central Coast</w:t>
        </w:r>
        <w:r>
          <w:rPr>
            <w:color w:val="205E9E"/>
            <w:sz w:val="22"/>
          </w:rPr>
          <w:t> </w:t>
        </w:r>
      </w:hyperlink>
      <w:r>
        <w:rPr>
          <w:color w:val="231F20"/>
          <w:sz w:val="22"/>
        </w:rPr>
        <w:t>to determine whether the species they found in their plot are also present in the Great Bear Rainforest. Have students record this information on their data</w:t>
      </w:r>
      <w:r>
        <w:rPr>
          <w:color w:val="231F20"/>
          <w:spacing w:val="4"/>
          <w:sz w:val="22"/>
        </w:rPr>
        <w:t> </w:t>
      </w:r>
      <w:r>
        <w:rPr>
          <w:color w:val="231F20"/>
          <w:sz w:val="22"/>
        </w:rPr>
        <w:t>sheet.</w:t>
      </w:r>
    </w:p>
    <w:p>
      <w:pPr>
        <w:pStyle w:val="ListParagraph"/>
        <w:numPr>
          <w:ilvl w:val="0"/>
          <w:numId w:val="1"/>
        </w:numPr>
        <w:tabs>
          <w:tab w:pos="749" w:val="left" w:leader="none"/>
          <w:tab w:pos="750" w:val="left" w:leader="none"/>
        </w:tabs>
        <w:spacing w:line="208" w:lineRule="auto" w:before="178" w:after="0"/>
        <w:ind w:left="749" w:right="367" w:hanging="450"/>
        <w:jc w:val="left"/>
        <w:rPr>
          <w:sz w:val="22"/>
        </w:rPr>
      </w:pPr>
      <w:r>
        <w:rPr>
          <w:color w:val="231F20"/>
          <w:spacing w:val="2"/>
          <w:sz w:val="22"/>
        </w:rPr>
        <w:t>Next, </w:t>
      </w:r>
      <w:r>
        <w:rPr>
          <w:color w:val="231F20"/>
          <w:sz w:val="22"/>
        </w:rPr>
        <w:t>have students determine whether the species they found in their plot are native or non-native to British Columbia, using the BC Flora Checklist </w:t>
      </w:r>
      <w:r>
        <w:rPr>
          <w:color w:val="231F20"/>
          <w:spacing w:val="-5"/>
          <w:sz w:val="22"/>
        </w:rPr>
        <w:t>2016 </w:t>
      </w:r>
      <w:r>
        <w:rPr>
          <w:color w:val="231F20"/>
          <w:sz w:val="22"/>
        </w:rPr>
        <w:t>available at</w:t>
      </w:r>
      <w:r>
        <w:rPr>
          <w:color w:val="205E9E"/>
          <w:sz w:val="22"/>
        </w:rPr>
        <w:t> </w:t>
      </w:r>
      <w:hyperlink r:id="rId20">
        <w:r>
          <w:rPr>
            <w:color w:val="205E9E"/>
            <w:sz w:val="22"/>
            <w:u w:val="single" w:color="205E9E"/>
          </w:rPr>
          <w:t>British Columbia plant species codes Version </w:t>
        </w:r>
        <w:r>
          <w:rPr>
            <w:color w:val="205E9E"/>
            <w:spacing w:val="-4"/>
            <w:sz w:val="22"/>
            <w:u w:val="single" w:color="205E9E"/>
          </w:rPr>
          <w:t>10</w:t>
        </w:r>
      </w:hyperlink>
      <w:r>
        <w:rPr>
          <w:color w:val="231F20"/>
          <w:spacing w:val="-4"/>
          <w:sz w:val="22"/>
        </w:rPr>
        <w:t>. </w:t>
      </w:r>
      <w:r>
        <w:rPr>
          <w:color w:val="231F20"/>
          <w:sz w:val="22"/>
        </w:rPr>
        <w:t>Have them add this information to their data</w:t>
      </w:r>
      <w:r>
        <w:rPr>
          <w:color w:val="231F20"/>
          <w:spacing w:val="-2"/>
          <w:sz w:val="22"/>
        </w:rPr>
        <w:t> </w:t>
      </w:r>
      <w:r>
        <w:rPr>
          <w:color w:val="231F20"/>
          <w:sz w:val="22"/>
        </w:rPr>
        <w:t>sheet.</w:t>
      </w:r>
    </w:p>
    <w:p>
      <w:pPr>
        <w:pStyle w:val="ListParagraph"/>
        <w:numPr>
          <w:ilvl w:val="0"/>
          <w:numId w:val="1"/>
        </w:numPr>
        <w:tabs>
          <w:tab w:pos="749" w:val="left" w:leader="none"/>
          <w:tab w:pos="750" w:val="left" w:leader="none"/>
        </w:tabs>
        <w:spacing w:line="240" w:lineRule="auto" w:before="147" w:after="0"/>
        <w:ind w:left="749" w:right="0" w:hanging="451"/>
        <w:jc w:val="left"/>
        <w:rPr>
          <w:sz w:val="22"/>
        </w:rPr>
      </w:pPr>
      <w:r>
        <w:rPr>
          <w:color w:val="231F20"/>
          <w:sz w:val="22"/>
        </w:rPr>
        <w:t>Invite students to compare their findings with the rest of the</w:t>
      </w:r>
      <w:r>
        <w:rPr>
          <w:color w:val="231F20"/>
          <w:spacing w:val="4"/>
          <w:sz w:val="22"/>
        </w:rPr>
        <w:t> </w:t>
      </w:r>
      <w:r>
        <w:rPr>
          <w:color w:val="231F20"/>
          <w:sz w:val="22"/>
        </w:rPr>
        <w:t>class.</w:t>
      </w:r>
    </w:p>
    <w:p>
      <w:pPr>
        <w:pStyle w:val="ListParagraph"/>
        <w:numPr>
          <w:ilvl w:val="0"/>
          <w:numId w:val="1"/>
        </w:numPr>
        <w:tabs>
          <w:tab w:pos="748" w:val="left" w:leader="none"/>
          <w:tab w:pos="749" w:val="left" w:leader="none"/>
        </w:tabs>
        <w:spacing w:line="208" w:lineRule="auto" w:before="171" w:after="0"/>
        <w:ind w:left="748" w:right="290" w:hanging="450"/>
        <w:jc w:val="left"/>
        <w:rPr>
          <w:sz w:val="22"/>
        </w:rPr>
      </w:pPr>
      <w:r>
        <w:rPr>
          <w:color w:val="231F20"/>
          <w:sz w:val="22"/>
        </w:rPr>
        <w:t>Have students discuss in their small groups whether they think the Great Bear Rainforest is made up of more or fewer native species than their local area, and why that may be the case. If students live in the Great Bear Rainforest region, they may discuss the factors that contribute to the rich biodiversity of the area. Students will then share what they found with the rest of the</w:t>
      </w:r>
      <w:r>
        <w:rPr>
          <w:color w:val="231F20"/>
          <w:spacing w:val="1"/>
          <w:sz w:val="22"/>
        </w:rPr>
        <w:t> </w:t>
      </w:r>
      <w:r>
        <w:rPr>
          <w:color w:val="231F20"/>
          <w:sz w:val="22"/>
        </w:rPr>
        <w:t>class.</w:t>
      </w:r>
    </w:p>
    <w:p>
      <w:pPr>
        <w:pStyle w:val="Heading3"/>
        <w:spacing w:before="260"/>
      </w:pPr>
      <w:r>
        <w:rPr>
          <w:color w:val="3E4B17"/>
        </w:rPr>
        <w:t>Assess</w:t>
      </w:r>
    </w:p>
    <w:p>
      <w:pPr>
        <w:pStyle w:val="ListParagraph"/>
        <w:numPr>
          <w:ilvl w:val="0"/>
          <w:numId w:val="1"/>
        </w:numPr>
        <w:tabs>
          <w:tab w:pos="749" w:val="left" w:leader="none"/>
          <w:tab w:pos="750" w:val="left" w:leader="none"/>
        </w:tabs>
        <w:spacing w:line="240" w:lineRule="auto" w:before="81" w:after="0"/>
        <w:ind w:left="749" w:right="0" w:hanging="451"/>
        <w:jc w:val="left"/>
        <w:rPr>
          <w:sz w:val="22"/>
        </w:rPr>
      </w:pPr>
      <w:r>
        <w:rPr>
          <w:color w:val="231F20"/>
          <w:sz w:val="22"/>
        </w:rPr>
        <w:t>Have students properly planned and conducted the investigation of their</w:t>
      </w:r>
      <w:r>
        <w:rPr>
          <w:color w:val="231F20"/>
          <w:spacing w:val="7"/>
          <w:sz w:val="22"/>
        </w:rPr>
        <w:t> </w:t>
      </w:r>
      <w:r>
        <w:rPr>
          <w:color w:val="231F20"/>
          <w:sz w:val="22"/>
        </w:rPr>
        <w:t>plot?</w:t>
      </w:r>
    </w:p>
    <w:p>
      <w:pPr>
        <w:pStyle w:val="ListParagraph"/>
        <w:numPr>
          <w:ilvl w:val="0"/>
          <w:numId w:val="1"/>
        </w:numPr>
        <w:tabs>
          <w:tab w:pos="749" w:val="left" w:leader="none"/>
          <w:tab w:pos="750" w:val="left" w:leader="none"/>
        </w:tabs>
        <w:spacing w:line="208" w:lineRule="auto" w:before="171" w:after="0"/>
        <w:ind w:left="749" w:right="641" w:hanging="450"/>
        <w:jc w:val="left"/>
        <w:rPr>
          <w:sz w:val="22"/>
        </w:rPr>
      </w:pPr>
      <w:r>
        <w:rPr>
          <w:color w:val="231F20"/>
          <w:sz w:val="22"/>
        </w:rPr>
        <w:t>Have students shown an understanding of diversity within different regions, and why diversity may differ based on location?</w:t>
      </w:r>
    </w:p>
    <w:p>
      <w:pPr>
        <w:pStyle w:val="Heading3"/>
        <w:spacing w:before="263"/>
      </w:pPr>
      <w:r>
        <w:rPr>
          <w:color w:val="3E4B17"/>
        </w:rPr>
        <w:t>Go Beyond</w:t>
      </w:r>
    </w:p>
    <w:p>
      <w:pPr>
        <w:pStyle w:val="ListParagraph"/>
        <w:numPr>
          <w:ilvl w:val="0"/>
          <w:numId w:val="1"/>
        </w:numPr>
        <w:tabs>
          <w:tab w:pos="749" w:val="left" w:leader="none"/>
          <w:tab w:pos="750" w:val="left" w:leader="none"/>
        </w:tabs>
        <w:spacing w:line="208" w:lineRule="auto" w:before="111" w:after="0"/>
        <w:ind w:left="749" w:right="839" w:hanging="450"/>
        <w:jc w:val="left"/>
        <w:rPr>
          <w:sz w:val="22"/>
        </w:rPr>
      </w:pPr>
      <w:r>
        <w:rPr>
          <w:color w:val="231F20"/>
          <w:spacing w:val="3"/>
          <w:sz w:val="22"/>
        </w:rPr>
        <w:t>As </w:t>
      </w:r>
      <w:r>
        <w:rPr>
          <w:color w:val="231F20"/>
          <w:sz w:val="22"/>
        </w:rPr>
        <w:t>a class, discuss the concept of ethnobotany and local implications for plants within the Great Bear</w:t>
      </w:r>
      <w:r>
        <w:rPr>
          <w:color w:val="231F20"/>
          <w:spacing w:val="-1"/>
          <w:sz w:val="22"/>
        </w:rPr>
        <w:t> </w:t>
      </w:r>
      <w:r>
        <w:rPr>
          <w:color w:val="231F20"/>
          <w:sz w:val="22"/>
        </w:rPr>
        <w:t>Rainforest.</w:t>
      </w:r>
    </w:p>
    <w:p>
      <w:pPr>
        <w:pStyle w:val="ListParagraph"/>
        <w:numPr>
          <w:ilvl w:val="0"/>
          <w:numId w:val="1"/>
        </w:numPr>
        <w:tabs>
          <w:tab w:pos="749" w:val="left" w:leader="none"/>
          <w:tab w:pos="750" w:val="left" w:leader="none"/>
        </w:tabs>
        <w:spacing w:line="208" w:lineRule="auto" w:before="179" w:after="0"/>
        <w:ind w:left="749" w:right="518" w:hanging="450"/>
        <w:jc w:val="left"/>
        <w:rPr>
          <w:sz w:val="22"/>
        </w:rPr>
      </w:pPr>
      <w:r>
        <w:rPr>
          <w:color w:val="231F20"/>
          <w:sz w:val="22"/>
        </w:rPr>
        <w:t>If possible, consider inviting a local </w:t>
      </w:r>
      <w:r>
        <w:rPr>
          <w:color w:val="231F20"/>
          <w:spacing w:val="2"/>
          <w:sz w:val="22"/>
        </w:rPr>
        <w:t>First </w:t>
      </w:r>
      <w:r>
        <w:rPr>
          <w:color w:val="231F20"/>
          <w:sz w:val="22"/>
        </w:rPr>
        <w:t>Nations Elder to come in and speak about plant species native to your local</w:t>
      </w:r>
      <w:r>
        <w:rPr>
          <w:color w:val="231F20"/>
          <w:spacing w:val="-2"/>
          <w:sz w:val="22"/>
        </w:rPr>
        <w:t> </w:t>
      </w:r>
      <w:r>
        <w:rPr>
          <w:color w:val="231F20"/>
          <w:sz w:val="22"/>
        </w:rPr>
        <w:t>area.</w:t>
      </w:r>
    </w:p>
    <w:p>
      <w:pPr>
        <w:pStyle w:val="ListParagraph"/>
        <w:numPr>
          <w:ilvl w:val="0"/>
          <w:numId w:val="1"/>
        </w:numPr>
        <w:tabs>
          <w:tab w:pos="749" w:val="left" w:leader="none"/>
          <w:tab w:pos="750" w:val="left" w:leader="none"/>
        </w:tabs>
        <w:spacing w:line="240" w:lineRule="auto" w:before="148" w:after="0"/>
        <w:ind w:left="749" w:right="0" w:hanging="451"/>
        <w:jc w:val="left"/>
        <w:rPr>
          <w:sz w:val="22"/>
        </w:rPr>
      </w:pPr>
      <w:r>
        <w:rPr>
          <w:color w:val="231F20"/>
          <w:sz w:val="22"/>
        </w:rPr>
        <w:t>Have students research uses of different plant species (medicinal, food,</w:t>
      </w:r>
      <w:r>
        <w:rPr>
          <w:color w:val="231F20"/>
          <w:spacing w:val="-3"/>
          <w:sz w:val="22"/>
        </w:rPr>
        <w:t> </w:t>
      </w:r>
      <w:r>
        <w:rPr>
          <w:color w:val="231F20"/>
          <w:sz w:val="22"/>
        </w:rPr>
        <w:t>etc.).</w:t>
      </w:r>
    </w:p>
    <w:p>
      <w:pPr>
        <w:pStyle w:val="ListParagraph"/>
        <w:numPr>
          <w:ilvl w:val="0"/>
          <w:numId w:val="1"/>
        </w:numPr>
        <w:tabs>
          <w:tab w:pos="749" w:val="left" w:leader="none"/>
          <w:tab w:pos="750" w:val="left" w:leader="none"/>
        </w:tabs>
        <w:spacing w:line="240" w:lineRule="auto" w:before="141" w:after="0"/>
        <w:ind w:left="749" w:right="0" w:hanging="451"/>
        <w:jc w:val="left"/>
        <w:rPr>
          <w:sz w:val="22"/>
        </w:rPr>
      </w:pPr>
      <w:r>
        <w:rPr>
          <w:color w:val="231F20"/>
          <w:sz w:val="22"/>
        </w:rPr>
        <w:t>Have students find the taxonomic classifications of the plants that they</w:t>
      </w:r>
      <w:r>
        <w:rPr>
          <w:color w:val="231F20"/>
          <w:spacing w:val="7"/>
          <w:sz w:val="22"/>
        </w:rPr>
        <w:t> </w:t>
      </w:r>
      <w:r>
        <w:rPr>
          <w:color w:val="231F20"/>
          <w:sz w:val="22"/>
        </w:rPr>
        <w:t>found.</w:t>
      </w:r>
    </w:p>
    <w:p>
      <w:pPr>
        <w:pStyle w:val="ListParagraph"/>
        <w:numPr>
          <w:ilvl w:val="0"/>
          <w:numId w:val="1"/>
        </w:numPr>
        <w:tabs>
          <w:tab w:pos="748" w:val="left" w:leader="none"/>
          <w:tab w:pos="749" w:val="left" w:leader="none"/>
        </w:tabs>
        <w:spacing w:line="208" w:lineRule="auto" w:before="171" w:after="0"/>
        <w:ind w:left="748" w:right="563" w:hanging="450"/>
        <w:jc w:val="left"/>
        <w:rPr>
          <w:sz w:val="22"/>
        </w:rPr>
      </w:pPr>
      <w:r>
        <w:rPr>
          <w:color w:val="231F20"/>
          <w:sz w:val="22"/>
        </w:rPr>
        <w:t>See also the Grade </w:t>
      </w:r>
      <w:r>
        <w:rPr>
          <w:color w:val="231F20"/>
          <w:spacing w:val="-7"/>
          <w:sz w:val="22"/>
        </w:rPr>
        <w:t>10–12 </w:t>
      </w:r>
      <w:r>
        <w:rPr>
          <w:color w:val="231F20"/>
          <w:spacing w:val="3"/>
          <w:sz w:val="22"/>
        </w:rPr>
        <w:t>Activity </w:t>
      </w:r>
      <w:r>
        <w:rPr>
          <w:color w:val="231F20"/>
          <w:sz w:val="22"/>
        </w:rPr>
        <w:t>Plan E,</w:t>
      </w:r>
      <w:r>
        <w:rPr>
          <w:color w:val="205E9E"/>
          <w:sz w:val="22"/>
        </w:rPr>
        <w:t> </w:t>
      </w:r>
      <w:hyperlink r:id="rId21">
        <w:r>
          <w:rPr>
            <w:color w:val="205E9E"/>
            <w:sz w:val="22"/>
            <w:u w:val="single" w:color="205E9E"/>
          </w:rPr>
          <w:t>“How could you catalogue biodiversity in</w:t>
        </w:r>
      </w:hyperlink>
      <w:hyperlink r:id="rId21">
        <w:r>
          <w:rPr>
            <w:color w:val="205E9E"/>
            <w:sz w:val="22"/>
            <w:u w:val="single" w:color="205E9E"/>
          </w:rPr>
          <w:t> the Great Bear</w:t>
        </w:r>
        <w:r>
          <w:rPr>
            <w:color w:val="205E9E"/>
            <w:spacing w:val="-1"/>
            <w:sz w:val="22"/>
            <w:u w:val="single" w:color="205E9E"/>
          </w:rPr>
          <w:t> </w:t>
        </w:r>
        <w:r>
          <w:rPr>
            <w:color w:val="205E9E"/>
            <w:sz w:val="22"/>
            <w:u w:val="single" w:color="205E9E"/>
          </w:rPr>
          <w:t>Rainforest?”</w:t>
        </w:r>
      </w:hyperlink>
    </w:p>
    <w:p>
      <w:pPr>
        <w:spacing w:after="0" w:line="208" w:lineRule="auto"/>
        <w:jc w:val="left"/>
        <w:rPr>
          <w:sz w:val="22"/>
        </w:rPr>
        <w:sectPr>
          <w:pgSz w:w="12240" w:h="15840"/>
          <w:pgMar w:header="0" w:footer="810" w:top="1260" w:bottom="1000" w:left="1320" w:right="1240"/>
        </w:sectPr>
      </w:pPr>
    </w:p>
    <w:p>
      <w:pPr>
        <w:spacing w:before="73"/>
        <w:ind w:left="561" w:right="638" w:firstLine="0"/>
        <w:jc w:val="center"/>
        <w:rPr>
          <w:b/>
          <w:sz w:val="22"/>
        </w:rPr>
      </w:pPr>
      <w:r>
        <w:rPr>
          <w:b/>
          <w:color w:val="231F20"/>
          <w:sz w:val="22"/>
        </w:rPr>
        <w:t>Blackline Master 1</w:t>
      </w:r>
    </w:p>
    <w:p>
      <w:pPr>
        <w:spacing w:before="53"/>
        <w:ind w:left="561" w:right="639" w:firstLine="0"/>
        <w:jc w:val="center"/>
        <w:rPr>
          <w:sz w:val="32"/>
        </w:rPr>
      </w:pPr>
      <w:r>
        <w:rPr>
          <w:color w:val="2D3D04"/>
          <w:sz w:val="32"/>
        </w:rPr>
        <w:t>Diversity of Species</w:t>
      </w:r>
    </w:p>
    <w:p>
      <w:pPr>
        <w:pStyle w:val="BodyText"/>
        <w:spacing w:before="3"/>
        <w:ind w:left="0"/>
        <w:rPr>
          <w:sz w:val="12"/>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872"/>
        <w:gridCol w:w="1872"/>
        <w:gridCol w:w="1872"/>
        <w:gridCol w:w="1872"/>
        <w:gridCol w:w="1872"/>
      </w:tblGrid>
      <w:tr>
        <w:trPr>
          <w:trHeight w:val="593" w:hRule="atLeast"/>
        </w:trPr>
        <w:tc>
          <w:tcPr>
            <w:tcW w:w="1872" w:type="dxa"/>
            <w:shd w:val="clear" w:color="auto" w:fill="E5DFBB"/>
          </w:tcPr>
          <w:p>
            <w:pPr>
              <w:pStyle w:val="TableParagraph"/>
              <w:spacing w:before="9"/>
              <w:ind w:left="345"/>
              <w:rPr>
                <w:b/>
                <w:sz w:val="20"/>
              </w:rPr>
            </w:pPr>
            <w:r>
              <w:rPr>
                <w:b/>
                <w:color w:val="231F20"/>
                <w:sz w:val="20"/>
              </w:rPr>
              <w:t>Photograph</w:t>
            </w:r>
          </w:p>
        </w:tc>
        <w:tc>
          <w:tcPr>
            <w:tcW w:w="1872" w:type="dxa"/>
            <w:shd w:val="clear" w:color="auto" w:fill="E5DFBB"/>
          </w:tcPr>
          <w:p>
            <w:pPr>
              <w:pStyle w:val="TableParagraph"/>
              <w:spacing w:before="9"/>
              <w:ind w:left="235"/>
              <w:rPr>
                <w:b/>
                <w:sz w:val="20"/>
              </w:rPr>
            </w:pPr>
            <w:r>
              <w:rPr>
                <w:b/>
                <w:color w:val="231F20"/>
                <w:sz w:val="20"/>
              </w:rPr>
              <w:t>Species Name</w:t>
            </w:r>
          </w:p>
        </w:tc>
        <w:tc>
          <w:tcPr>
            <w:tcW w:w="1872" w:type="dxa"/>
            <w:shd w:val="clear" w:color="auto" w:fill="E5DFBB"/>
          </w:tcPr>
          <w:p>
            <w:pPr>
              <w:pStyle w:val="TableParagraph"/>
              <w:spacing w:before="9"/>
              <w:ind w:left="171"/>
              <w:rPr>
                <w:b/>
                <w:sz w:val="20"/>
              </w:rPr>
            </w:pPr>
            <w:r>
              <w:rPr>
                <w:b/>
                <w:color w:val="231F20"/>
                <w:sz w:val="20"/>
              </w:rPr>
              <w:t>Number in Plot</w:t>
            </w:r>
          </w:p>
        </w:tc>
        <w:tc>
          <w:tcPr>
            <w:tcW w:w="1872" w:type="dxa"/>
            <w:shd w:val="clear" w:color="auto" w:fill="E5DFBB"/>
          </w:tcPr>
          <w:p>
            <w:pPr>
              <w:pStyle w:val="TableParagraph"/>
              <w:spacing w:before="9"/>
              <w:ind w:left="142"/>
              <w:rPr>
                <w:b/>
                <w:sz w:val="20"/>
              </w:rPr>
            </w:pPr>
            <w:r>
              <w:rPr>
                <w:b/>
                <w:color w:val="231F20"/>
                <w:sz w:val="20"/>
              </w:rPr>
              <w:t>Present in GBR?</w:t>
            </w:r>
          </w:p>
        </w:tc>
        <w:tc>
          <w:tcPr>
            <w:tcW w:w="1872" w:type="dxa"/>
            <w:shd w:val="clear" w:color="auto" w:fill="E5DFBB"/>
          </w:tcPr>
          <w:p>
            <w:pPr>
              <w:pStyle w:val="TableParagraph"/>
              <w:spacing w:before="9"/>
              <w:ind w:left="468"/>
              <w:rPr>
                <w:b/>
                <w:sz w:val="20"/>
              </w:rPr>
            </w:pPr>
            <w:r>
              <w:rPr>
                <w:b/>
                <w:color w:val="231F20"/>
                <w:sz w:val="20"/>
              </w:rPr>
              <w:t>Native or</w:t>
            </w:r>
          </w:p>
          <w:p>
            <w:pPr>
              <w:pStyle w:val="TableParagraph"/>
              <w:spacing w:line="264" w:lineRule="exact" w:before="28"/>
              <w:ind w:left="369"/>
              <w:rPr>
                <w:b/>
                <w:sz w:val="20"/>
              </w:rPr>
            </w:pPr>
            <w:r>
              <w:rPr>
                <w:b/>
                <w:color w:val="231F20"/>
                <w:sz w:val="20"/>
              </w:rPr>
              <w:t>Non-native</w:t>
            </w:r>
          </w:p>
        </w:tc>
      </w:tr>
      <w:tr>
        <w:trPr>
          <w:trHeight w:val="2515" w:hRule="atLeast"/>
        </w:trPr>
        <w:tc>
          <w:tcPr>
            <w:tcW w:w="1872" w:type="dxa"/>
          </w:tcPr>
          <w:p>
            <w:pPr>
              <w:pStyle w:val="TableParagraph"/>
              <w:rPr>
                <w:rFonts w:ascii="Times New Roman"/>
                <w:sz w:val="20"/>
              </w:rPr>
            </w:pPr>
          </w:p>
        </w:tc>
        <w:tc>
          <w:tcPr>
            <w:tcW w:w="1872" w:type="dxa"/>
          </w:tcPr>
          <w:p>
            <w:pPr>
              <w:pStyle w:val="TableParagraph"/>
              <w:rPr>
                <w:rFonts w:ascii="Times New Roman"/>
                <w:sz w:val="20"/>
              </w:rPr>
            </w:pPr>
          </w:p>
        </w:tc>
        <w:tc>
          <w:tcPr>
            <w:tcW w:w="1872" w:type="dxa"/>
          </w:tcPr>
          <w:p>
            <w:pPr>
              <w:pStyle w:val="TableParagraph"/>
              <w:rPr>
                <w:rFonts w:ascii="Times New Roman"/>
                <w:sz w:val="20"/>
              </w:rPr>
            </w:pPr>
          </w:p>
        </w:tc>
        <w:tc>
          <w:tcPr>
            <w:tcW w:w="1872" w:type="dxa"/>
          </w:tcPr>
          <w:p>
            <w:pPr>
              <w:pStyle w:val="TableParagraph"/>
              <w:rPr>
                <w:rFonts w:ascii="Times New Roman"/>
                <w:sz w:val="20"/>
              </w:rPr>
            </w:pPr>
          </w:p>
        </w:tc>
        <w:tc>
          <w:tcPr>
            <w:tcW w:w="1872" w:type="dxa"/>
          </w:tcPr>
          <w:p>
            <w:pPr>
              <w:pStyle w:val="TableParagraph"/>
              <w:rPr>
                <w:rFonts w:ascii="Times New Roman"/>
                <w:sz w:val="20"/>
              </w:rPr>
            </w:pPr>
          </w:p>
        </w:tc>
      </w:tr>
      <w:tr>
        <w:trPr>
          <w:trHeight w:val="2715" w:hRule="atLeast"/>
        </w:trPr>
        <w:tc>
          <w:tcPr>
            <w:tcW w:w="1872" w:type="dxa"/>
          </w:tcPr>
          <w:p>
            <w:pPr>
              <w:pStyle w:val="TableParagraph"/>
              <w:rPr>
                <w:rFonts w:ascii="Times New Roman"/>
                <w:sz w:val="20"/>
              </w:rPr>
            </w:pPr>
          </w:p>
        </w:tc>
        <w:tc>
          <w:tcPr>
            <w:tcW w:w="1872" w:type="dxa"/>
          </w:tcPr>
          <w:p>
            <w:pPr>
              <w:pStyle w:val="TableParagraph"/>
              <w:rPr>
                <w:rFonts w:ascii="Times New Roman"/>
                <w:sz w:val="20"/>
              </w:rPr>
            </w:pPr>
          </w:p>
        </w:tc>
        <w:tc>
          <w:tcPr>
            <w:tcW w:w="1872" w:type="dxa"/>
          </w:tcPr>
          <w:p>
            <w:pPr>
              <w:pStyle w:val="TableParagraph"/>
              <w:rPr>
                <w:rFonts w:ascii="Times New Roman"/>
                <w:sz w:val="20"/>
              </w:rPr>
            </w:pPr>
          </w:p>
        </w:tc>
        <w:tc>
          <w:tcPr>
            <w:tcW w:w="1872" w:type="dxa"/>
          </w:tcPr>
          <w:p>
            <w:pPr>
              <w:pStyle w:val="TableParagraph"/>
              <w:rPr>
                <w:rFonts w:ascii="Times New Roman"/>
                <w:sz w:val="20"/>
              </w:rPr>
            </w:pPr>
          </w:p>
        </w:tc>
        <w:tc>
          <w:tcPr>
            <w:tcW w:w="1872" w:type="dxa"/>
          </w:tcPr>
          <w:p>
            <w:pPr>
              <w:pStyle w:val="TableParagraph"/>
              <w:rPr>
                <w:rFonts w:ascii="Times New Roman"/>
                <w:sz w:val="20"/>
              </w:rPr>
            </w:pPr>
          </w:p>
        </w:tc>
      </w:tr>
      <w:tr>
        <w:trPr>
          <w:trHeight w:val="2471" w:hRule="atLeast"/>
        </w:trPr>
        <w:tc>
          <w:tcPr>
            <w:tcW w:w="1872" w:type="dxa"/>
          </w:tcPr>
          <w:p>
            <w:pPr>
              <w:pStyle w:val="TableParagraph"/>
              <w:rPr>
                <w:rFonts w:ascii="Times New Roman"/>
                <w:sz w:val="20"/>
              </w:rPr>
            </w:pPr>
          </w:p>
        </w:tc>
        <w:tc>
          <w:tcPr>
            <w:tcW w:w="1872" w:type="dxa"/>
          </w:tcPr>
          <w:p>
            <w:pPr>
              <w:pStyle w:val="TableParagraph"/>
              <w:rPr>
                <w:rFonts w:ascii="Times New Roman"/>
                <w:sz w:val="20"/>
              </w:rPr>
            </w:pPr>
          </w:p>
        </w:tc>
        <w:tc>
          <w:tcPr>
            <w:tcW w:w="1872" w:type="dxa"/>
          </w:tcPr>
          <w:p>
            <w:pPr>
              <w:pStyle w:val="TableParagraph"/>
              <w:rPr>
                <w:rFonts w:ascii="Times New Roman"/>
                <w:sz w:val="20"/>
              </w:rPr>
            </w:pPr>
          </w:p>
        </w:tc>
        <w:tc>
          <w:tcPr>
            <w:tcW w:w="1872" w:type="dxa"/>
          </w:tcPr>
          <w:p>
            <w:pPr>
              <w:pStyle w:val="TableParagraph"/>
              <w:rPr>
                <w:rFonts w:ascii="Times New Roman"/>
                <w:sz w:val="20"/>
              </w:rPr>
            </w:pPr>
          </w:p>
        </w:tc>
        <w:tc>
          <w:tcPr>
            <w:tcW w:w="1872" w:type="dxa"/>
          </w:tcPr>
          <w:p>
            <w:pPr>
              <w:pStyle w:val="TableParagraph"/>
              <w:rPr>
                <w:rFonts w:ascii="Times New Roman"/>
                <w:sz w:val="20"/>
              </w:rPr>
            </w:pPr>
          </w:p>
        </w:tc>
      </w:tr>
      <w:tr>
        <w:trPr>
          <w:trHeight w:val="2590" w:hRule="atLeast"/>
        </w:trPr>
        <w:tc>
          <w:tcPr>
            <w:tcW w:w="1872" w:type="dxa"/>
          </w:tcPr>
          <w:p>
            <w:pPr>
              <w:pStyle w:val="TableParagraph"/>
              <w:rPr>
                <w:rFonts w:ascii="Times New Roman"/>
                <w:sz w:val="20"/>
              </w:rPr>
            </w:pPr>
          </w:p>
        </w:tc>
        <w:tc>
          <w:tcPr>
            <w:tcW w:w="1872" w:type="dxa"/>
          </w:tcPr>
          <w:p>
            <w:pPr>
              <w:pStyle w:val="TableParagraph"/>
              <w:rPr>
                <w:rFonts w:ascii="Times New Roman"/>
                <w:sz w:val="20"/>
              </w:rPr>
            </w:pPr>
          </w:p>
        </w:tc>
        <w:tc>
          <w:tcPr>
            <w:tcW w:w="1872" w:type="dxa"/>
          </w:tcPr>
          <w:p>
            <w:pPr>
              <w:pStyle w:val="TableParagraph"/>
              <w:rPr>
                <w:rFonts w:ascii="Times New Roman"/>
                <w:sz w:val="20"/>
              </w:rPr>
            </w:pPr>
          </w:p>
        </w:tc>
        <w:tc>
          <w:tcPr>
            <w:tcW w:w="1872" w:type="dxa"/>
          </w:tcPr>
          <w:p>
            <w:pPr>
              <w:pStyle w:val="TableParagraph"/>
              <w:rPr>
                <w:rFonts w:ascii="Times New Roman"/>
                <w:sz w:val="20"/>
              </w:rPr>
            </w:pPr>
          </w:p>
        </w:tc>
        <w:tc>
          <w:tcPr>
            <w:tcW w:w="1872" w:type="dxa"/>
          </w:tcPr>
          <w:p>
            <w:pPr>
              <w:pStyle w:val="TableParagraph"/>
              <w:rPr>
                <w:rFonts w:ascii="Times New Roman"/>
                <w:sz w:val="20"/>
              </w:rPr>
            </w:pPr>
          </w:p>
        </w:tc>
      </w:tr>
    </w:tbl>
    <w:p>
      <w:pPr>
        <w:spacing w:after="0"/>
        <w:rPr>
          <w:rFonts w:ascii="Times New Roman"/>
          <w:sz w:val="20"/>
        </w:rPr>
        <w:sectPr>
          <w:pgSz w:w="12240" w:h="15840"/>
          <w:pgMar w:header="0" w:footer="810" w:top="1300" w:bottom="1000" w:left="1320" w:right="1240"/>
        </w:sectPr>
      </w:pPr>
    </w:p>
    <w:p>
      <w:pPr>
        <w:spacing w:before="88"/>
        <w:ind w:left="561" w:right="638" w:firstLine="0"/>
        <w:jc w:val="center"/>
        <w:rPr>
          <w:b/>
          <w:sz w:val="22"/>
        </w:rPr>
      </w:pPr>
      <w:r>
        <w:rPr>
          <w:b/>
          <w:color w:val="231F20"/>
          <w:sz w:val="22"/>
        </w:rPr>
        <w:t>Blackline Master 2</w:t>
      </w:r>
    </w:p>
    <w:p>
      <w:pPr>
        <w:pStyle w:val="Heading2"/>
        <w:spacing w:before="54"/>
      </w:pPr>
      <w:r>
        <w:rPr>
          <w:color w:val="2D3D04"/>
        </w:rPr>
        <w:t>Assessment</w:t>
      </w:r>
    </w:p>
    <w:p>
      <w:pPr>
        <w:pStyle w:val="BodyText"/>
        <w:spacing w:before="2"/>
        <w:ind w:left="0"/>
        <w:rPr>
          <w:sz w:val="12"/>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884"/>
        <w:gridCol w:w="3556"/>
        <w:gridCol w:w="2984"/>
      </w:tblGrid>
      <w:tr>
        <w:trPr>
          <w:trHeight w:val="308" w:hRule="atLeast"/>
        </w:trPr>
        <w:tc>
          <w:tcPr>
            <w:tcW w:w="2884" w:type="dxa"/>
            <w:shd w:val="clear" w:color="auto" w:fill="E5DFBB"/>
          </w:tcPr>
          <w:p>
            <w:pPr>
              <w:pStyle w:val="TableParagraph"/>
              <w:spacing w:before="9"/>
              <w:ind w:left="312"/>
              <w:rPr>
                <w:b/>
                <w:sz w:val="20"/>
              </w:rPr>
            </w:pPr>
            <w:r>
              <w:rPr>
                <w:b/>
                <w:color w:val="231F20"/>
                <w:sz w:val="20"/>
              </w:rPr>
              <w:t>Areas of Improvement</w:t>
            </w:r>
          </w:p>
        </w:tc>
        <w:tc>
          <w:tcPr>
            <w:tcW w:w="3556" w:type="dxa"/>
            <w:shd w:val="clear" w:color="auto" w:fill="E5DFBB"/>
          </w:tcPr>
          <w:p>
            <w:pPr>
              <w:pStyle w:val="TableParagraph"/>
              <w:spacing w:before="9"/>
              <w:ind w:left="1380" w:right="1359"/>
              <w:jc w:val="center"/>
              <w:rPr>
                <w:b/>
                <w:sz w:val="20"/>
              </w:rPr>
            </w:pPr>
            <w:r>
              <w:rPr>
                <w:b/>
                <w:color w:val="231F20"/>
                <w:sz w:val="20"/>
              </w:rPr>
              <w:t>Criteria</w:t>
            </w:r>
          </w:p>
        </w:tc>
        <w:tc>
          <w:tcPr>
            <w:tcW w:w="2984" w:type="dxa"/>
            <w:shd w:val="clear" w:color="auto" w:fill="E5DFBB"/>
          </w:tcPr>
          <w:p>
            <w:pPr>
              <w:pStyle w:val="TableParagraph"/>
              <w:spacing w:before="9"/>
              <w:ind w:left="665"/>
              <w:rPr>
                <w:b/>
                <w:sz w:val="20"/>
              </w:rPr>
            </w:pPr>
            <w:r>
              <w:rPr>
                <w:b/>
                <w:color w:val="231F20"/>
                <w:sz w:val="20"/>
              </w:rPr>
              <w:t>Areas of Success</w:t>
            </w:r>
          </w:p>
        </w:tc>
      </w:tr>
      <w:tr>
        <w:trPr>
          <w:trHeight w:val="2330" w:hRule="atLeast"/>
        </w:trPr>
        <w:tc>
          <w:tcPr>
            <w:tcW w:w="2884" w:type="dxa"/>
          </w:tcPr>
          <w:p>
            <w:pPr>
              <w:pStyle w:val="TableParagraph"/>
              <w:rPr>
                <w:rFonts w:ascii="Times New Roman"/>
                <w:sz w:val="20"/>
              </w:rPr>
            </w:pPr>
          </w:p>
        </w:tc>
        <w:tc>
          <w:tcPr>
            <w:tcW w:w="3556" w:type="dxa"/>
          </w:tcPr>
          <w:p>
            <w:pPr>
              <w:pStyle w:val="TableParagraph"/>
              <w:spacing w:line="208" w:lineRule="auto" w:before="33"/>
              <w:ind w:left="224" w:right="203"/>
              <w:rPr>
                <w:sz w:val="22"/>
              </w:rPr>
            </w:pPr>
            <w:r>
              <w:rPr>
                <w:b/>
                <w:color w:val="231F20"/>
                <w:sz w:val="22"/>
              </w:rPr>
              <w:t>Planning and Conducting </w:t>
            </w:r>
            <w:r>
              <w:rPr>
                <w:color w:val="231F20"/>
                <w:sz w:val="22"/>
              </w:rPr>
              <w:t>The student completed a well- thought out and organized survey of their area.</w:t>
            </w:r>
          </w:p>
        </w:tc>
        <w:tc>
          <w:tcPr>
            <w:tcW w:w="2984" w:type="dxa"/>
          </w:tcPr>
          <w:p>
            <w:pPr>
              <w:pStyle w:val="TableParagraph"/>
              <w:rPr>
                <w:rFonts w:ascii="Times New Roman"/>
                <w:sz w:val="20"/>
              </w:rPr>
            </w:pPr>
          </w:p>
        </w:tc>
      </w:tr>
      <w:tr>
        <w:trPr>
          <w:trHeight w:val="4127" w:hRule="atLeast"/>
        </w:trPr>
        <w:tc>
          <w:tcPr>
            <w:tcW w:w="2884" w:type="dxa"/>
          </w:tcPr>
          <w:p>
            <w:pPr>
              <w:pStyle w:val="TableParagraph"/>
              <w:rPr>
                <w:rFonts w:ascii="Times New Roman"/>
                <w:sz w:val="20"/>
              </w:rPr>
            </w:pPr>
          </w:p>
        </w:tc>
        <w:tc>
          <w:tcPr>
            <w:tcW w:w="3556" w:type="dxa"/>
          </w:tcPr>
          <w:p>
            <w:pPr>
              <w:pStyle w:val="TableParagraph"/>
              <w:spacing w:line="208" w:lineRule="auto" w:before="34"/>
              <w:ind w:left="224" w:right="203"/>
              <w:rPr>
                <w:sz w:val="22"/>
              </w:rPr>
            </w:pPr>
            <w:r>
              <w:rPr>
                <w:b/>
                <w:color w:val="231F20"/>
                <w:sz w:val="22"/>
              </w:rPr>
              <w:t>Processing and Analyzing </w:t>
            </w:r>
            <w:r>
              <w:rPr>
                <w:color w:val="231F20"/>
                <w:sz w:val="22"/>
              </w:rPr>
              <w:t>The student used scientific knowledge to accurately identify the plants found in their surveyed area, and to determine whether the plants are present in the Great Bear Rainforest.</w:t>
            </w:r>
          </w:p>
          <w:p>
            <w:pPr>
              <w:pStyle w:val="TableParagraph"/>
              <w:spacing w:line="208" w:lineRule="auto" w:before="175"/>
              <w:ind w:left="224" w:right="190"/>
              <w:rPr>
                <w:sz w:val="22"/>
              </w:rPr>
            </w:pPr>
            <w:r>
              <w:rPr>
                <w:color w:val="231F20"/>
                <w:sz w:val="22"/>
              </w:rPr>
              <w:t>The student used reliable sources to determine whether the species found in their plot are native or non-native to their area.</w:t>
            </w:r>
          </w:p>
        </w:tc>
        <w:tc>
          <w:tcPr>
            <w:tcW w:w="2984" w:type="dxa"/>
          </w:tcPr>
          <w:p>
            <w:pPr>
              <w:pStyle w:val="TableParagraph"/>
              <w:rPr>
                <w:rFonts w:ascii="Times New Roman"/>
                <w:sz w:val="20"/>
              </w:rPr>
            </w:pPr>
          </w:p>
        </w:tc>
      </w:tr>
      <w:tr>
        <w:trPr>
          <w:trHeight w:val="4290" w:hRule="atLeast"/>
        </w:trPr>
        <w:tc>
          <w:tcPr>
            <w:tcW w:w="2884" w:type="dxa"/>
          </w:tcPr>
          <w:p>
            <w:pPr>
              <w:pStyle w:val="TableParagraph"/>
              <w:rPr>
                <w:rFonts w:ascii="Times New Roman"/>
                <w:sz w:val="20"/>
              </w:rPr>
            </w:pPr>
          </w:p>
        </w:tc>
        <w:tc>
          <w:tcPr>
            <w:tcW w:w="3556" w:type="dxa"/>
          </w:tcPr>
          <w:p>
            <w:pPr>
              <w:pStyle w:val="TableParagraph"/>
              <w:spacing w:line="280" w:lineRule="exact" w:before="3"/>
              <w:ind w:left="224"/>
              <w:rPr>
                <w:b/>
                <w:sz w:val="22"/>
              </w:rPr>
            </w:pPr>
            <w:r>
              <w:rPr>
                <w:b/>
                <w:color w:val="231F20"/>
                <w:sz w:val="22"/>
              </w:rPr>
              <w:t>Reflecting</w:t>
            </w:r>
          </w:p>
          <w:p>
            <w:pPr>
              <w:pStyle w:val="TableParagraph"/>
              <w:spacing w:line="208" w:lineRule="auto" w:before="11"/>
              <w:ind w:left="224" w:right="432"/>
              <w:rPr>
                <w:sz w:val="22"/>
              </w:rPr>
            </w:pPr>
            <w:r>
              <w:rPr>
                <w:color w:val="231F20"/>
                <w:sz w:val="22"/>
              </w:rPr>
              <w:t>The student used their understanding of diversity to reflect on differences in diversity between the Great</w:t>
            </w:r>
          </w:p>
          <w:p>
            <w:pPr>
              <w:pStyle w:val="TableParagraph"/>
              <w:spacing w:line="208" w:lineRule="auto"/>
              <w:ind w:left="224" w:right="187"/>
              <w:rPr>
                <w:sz w:val="22"/>
              </w:rPr>
            </w:pPr>
            <w:r>
              <w:rPr>
                <w:color w:val="231F20"/>
                <w:sz w:val="22"/>
              </w:rPr>
              <w:t>Bear Rainforest and their local area.</w:t>
            </w:r>
          </w:p>
          <w:p>
            <w:pPr>
              <w:pStyle w:val="TableParagraph"/>
              <w:spacing w:line="208" w:lineRule="auto" w:before="177"/>
              <w:ind w:left="224" w:right="49"/>
              <w:rPr>
                <w:sz w:val="22"/>
              </w:rPr>
            </w:pPr>
            <w:r>
              <w:rPr>
                <w:color w:val="231F20"/>
                <w:sz w:val="22"/>
              </w:rPr>
              <w:t>The student used critical thinking skills to reflect on the presence of native and non- native species in both the Great Bear Rainforest and their local community.</w:t>
            </w:r>
          </w:p>
        </w:tc>
        <w:tc>
          <w:tcPr>
            <w:tcW w:w="2984" w:type="dxa"/>
          </w:tcPr>
          <w:p>
            <w:pPr>
              <w:pStyle w:val="TableParagraph"/>
              <w:rPr>
                <w:rFonts w:ascii="Times New Roman"/>
                <w:sz w:val="20"/>
              </w:rPr>
            </w:pPr>
          </w:p>
        </w:tc>
      </w:tr>
    </w:tbl>
    <w:p>
      <w:pPr>
        <w:pStyle w:val="BodyText"/>
        <w:spacing w:before="2"/>
        <w:ind w:left="0"/>
        <w:rPr>
          <w:sz w:val="14"/>
        </w:rPr>
      </w:pPr>
      <w:r>
        <w:rPr/>
        <w:drawing>
          <wp:anchor distT="0" distB="0" distL="0" distR="0" allowOverlap="1" layoutInCell="1" locked="0" behindDoc="0" simplePos="0" relativeHeight="3">
            <wp:simplePos x="0" y="0"/>
            <wp:positionH relativeFrom="page">
              <wp:posOffset>3227832</wp:posOffset>
            </wp:positionH>
            <wp:positionV relativeFrom="paragraph">
              <wp:posOffset>147501</wp:posOffset>
            </wp:positionV>
            <wp:extent cx="1074801" cy="376047"/>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22" cstate="print"/>
                    <a:stretch>
                      <a:fillRect/>
                    </a:stretch>
                  </pic:blipFill>
                  <pic:spPr>
                    <a:xfrm>
                      <a:off x="0" y="0"/>
                      <a:ext cx="1074801" cy="376047"/>
                    </a:xfrm>
                    <a:prstGeom prst="rect">
                      <a:avLst/>
                    </a:prstGeom>
                  </pic:spPr>
                </pic:pic>
              </a:graphicData>
            </a:graphic>
          </wp:anchor>
        </w:drawing>
      </w:r>
    </w:p>
    <w:p>
      <w:pPr>
        <w:spacing w:line="264" w:lineRule="auto" w:before="58"/>
        <w:ind w:left="561" w:right="654" w:firstLine="0"/>
        <w:jc w:val="center"/>
        <w:rPr>
          <w:sz w:val="16"/>
        </w:rPr>
      </w:pPr>
      <w:r>
        <w:rPr>
          <w:color w:val="231F20"/>
          <w:sz w:val="16"/>
        </w:rPr>
        <w:t>This work is licensed under a </w:t>
      </w:r>
      <w:hyperlink r:id="rId23">
        <w:r>
          <w:rPr>
            <w:color w:val="205E9E"/>
            <w:sz w:val="16"/>
            <w:u w:val="single" w:color="205E9E"/>
          </w:rPr>
          <w:t>Creative Commons Attribution-NonCommercial-ShareAlike 4.0 International License</w:t>
        </w:r>
      </w:hyperlink>
      <w:r>
        <w:rPr>
          <w:color w:val="205E9E"/>
          <w:sz w:val="16"/>
        </w:rPr>
        <w:t> </w:t>
      </w:r>
      <w:r>
        <w:rPr>
          <w:color w:val="231F20"/>
          <w:sz w:val="16"/>
        </w:rPr>
        <w:t>unless otherwise indicated.</w:t>
      </w:r>
    </w:p>
    <w:sectPr>
      <w:pgSz w:w="12240" w:h="15840"/>
      <w:pgMar w:header="0" w:footer="810" w:top="880" w:bottom="1000" w:left="1320" w:right="1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 w:name="OpenSans-Semibold">
    <w:altName w:val="OpenSans-Semibold"/>
    <w:charset w:val="0"/>
    <w:family w:val="roman"/>
    <w:pitch w:val="variable"/>
  </w:font>
  <w:font w:name="Myriad Pro">
    <w:altName w:val="Myriad Pro"/>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type id="_x0000_t202" o:spt="202" coordsize="21600,21600" path="m,l,21600r21600,l21600,xe">
          <v:stroke joinstyle="miter"/>
          <v:path gradientshapeok="t" o:connecttype="rect"/>
        </v:shapetype>
        <v:shape style="position:absolute;margin-left:544.80719pt;margin-top:740.48291pt;width:11.75pt;height:15.65pt;mso-position-horizontal-relative:page;mso-position-vertical-relative:page;z-index:-15886336" type="#_x0000_t202" filled="false" stroked="false">
          <v:textbox inset="0,0,0,0">
            <w:txbxContent>
              <w:p>
                <w:pPr>
                  <w:spacing w:before="20"/>
                  <w:ind w:left="60" w:right="0" w:firstLine="0"/>
                  <w:jc w:val="left"/>
                  <w:rPr>
                    <w:sz w:val="20"/>
                  </w:rPr>
                </w:pPr>
                <w:r>
                  <w:rPr/>
                  <w:fldChar w:fldCharType="begin"/>
                </w:r>
                <w:r>
                  <w:rPr>
                    <w:color w:val="231F20"/>
                    <w:sz w:val="20"/>
                  </w:rPr>
                  <w:instrText> PAGE </w:instrText>
                </w:r>
                <w:r>
                  <w:rPr/>
                  <w:fldChar w:fldCharType="separate"/>
                </w:r>
                <w:r>
                  <w:rPr/>
                  <w:t>1</w:t>
                </w:r>
                <w:r>
                  <w:rPr/>
                  <w:fldChar w:fldCharType="end"/>
                </w:r>
              </w:p>
            </w:txbxContent>
          </v:textbox>
          <w10:wrap type="none"/>
        </v:shape>
      </w:pict>
    </w:r>
    <w:r>
      <w:rPr/>
      <w:pict>
        <v:shape style="position:absolute;margin-left:70.279999pt;margin-top:742.620605pt;width:252.35pt;height:12.9pt;mso-position-horizontal-relative:page;mso-position-vertical-relative:page;z-index:-15885824" type="#_x0000_t202" filled="false" stroked="false">
          <v:textbox inset="0,0,0,0">
            <w:txbxContent>
              <w:p>
                <w:pPr>
                  <w:spacing w:before="20"/>
                  <w:ind w:left="20" w:right="0" w:firstLine="0"/>
                  <w:jc w:val="left"/>
                  <w:rPr>
                    <w:sz w:val="16"/>
                  </w:rPr>
                </w:pPr>
                <w:r>
                  <w:rPr>
                    <w:color w:val="231F20"/>
                    <w:sz w:val="16"/>
                  </w:rPr>
                  <w:t>In what ways does location affect diversity of plant/algae species?</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749" w:hanging="450"/>
      </w:pPr>
      <w:rPr>
        <w:rFonts w:hint="default" w:ascii="Arial" w:hAnsi="Arial" w:eastAsia="Arial" w:cs="Arial"/>
        <w:color w:val="231F20"/>
        <w:w w:val="129"/>
        <w:sz w:val="22"/>
        <w:szCs w:val="22"/>
        <w:lang w:val="en-us" w:eastAsia="en-US" w:bidi="ar-SA"/>
      </w:rPr>
    </w:lvl>
    <w:lvl w:ilvl="1">
      <w:start w:val="0"/>
      <w:numFmt w:val="bullet"/>
      <w:lvlText w:val="•"/>
      <w:lvlJc w:val="left"/>
      <w:pPr>
        <w:ind w:left="1634" w:hanging="450"/>
      </w:pPr>
      <w:rPr>
        <w:rFonts w:hint="default"/>
        <w:lang w:val="en-us" w:eastAsia="en-US" w:bidi="ar-SA"/>
      </w:rPr>
    </w:lvl>
    <w:lvl w:ilvl="2">
      <w:start w:val="0"/>
      <w:numFmt w:val="bullet"/>
      <w:lvlText w:val="•"/>
      <w:lvlJc w:val="left"/>
      <w:pPr>
        <w:ind w:left="2528" w:hanging="450"/>
      </w:pPr>
      <w:rPr>
        <w:rFonts w:hint="default"/>
        <w:lang w:val="en-us" w:eastAsia="en-US" w:bidi="ar-SA"/>
      </w:rPr>
    </w:lvl>
    <w:lvl w:ilvl="3">
      <w:start w:val="0"/>
      <w:numFmt w:val="bullet"/>
      <w:lvlText w:val="•"/>
      <w:lvlJc w:val="left"/>
      <w:pPr>
        <w:ind w:left="3422" w:hanging="450"/>
      </w:pPr>
      <w:rPr>
        <w:rFonts w:hint="default"/>
        <w:lang w:val="en-us" w:eastAsia="en-US" w:bidi="ar-SA"/>
      </w:rPr>
    </w:lvl>
    <w:lvl w:ilvl="4">
      <w:start w:val="0"/>
      <w:numFmt w:val="bullet"/>
      <w:lvlText w:val="•"/>
      <w:lvlJc w:val="left"/>
      <w:pPr>
        <w:ind w:left="4316" w:hanging="450"/>
      </w:pPr>
      <w:rPr>
        <w:rFonts w:hint="default"/>
        <w:lang w:val="en-us" w:eastAsia="en-US" w:bidi="ar-SA"/>
      </w:rPr>
    </w:lvl>
    <w:lvl w:ilvl="5">
      <w:start w:val="0"/>
      <w:numFmt w:val="bullet"/>
      <w:lvlText w:val="•"/>
      <w:lvlJc w:val="left"/>
      <w:pPr>
        <w:ind w:left="5210" w:hanging="450"/>
      </w:pPr>
      <w:rPr>
        <w:rFonts w:hint="default"/>
        <w:lang w:val="en-us" w:eastAsia="en-US" w:bidi="ar-SA"/>
      </w:rPr>
    </w:lvl>
    <w:lvl w:ilvl="6">
      <w:start w:val="0"/>
      <w:numFmt w:val="bullet"/>
      <w:lvlText w:val="•"/>
      <w:lvlJc w:val="left"/>
      <w:pPr>
        <w:ind w:left="6104" w:hanging="450"/>
      </w:pPr>
      <w:rPr>
        <w:rFonts w:hint="default"/>
        <w:lang w:val="en-us" w:eastAsia="en-US" w:bidi="ar-SA"/>
      </w:rPr>
    </w:lvl>
    <w:lvl w:ilvl="7">
      <w:start w:val="0"/>
      <w:numFmt w:val="bullet"/>
      <w:lvlText w:val="•"/>
      <w:lvlJc w:val="left"/>
      <w:pPr>
        <w:ind w:left="6998" w:hanging="450"/>
      </w:pPr>
      <w:rPr>
        <w:rFonts w:hint="default"/>
        <w:lang w:val="en-us" w:eastAsia="en-US" w:bidi="ar-SA"/>
      </w:rPr>
    </w:lvl>
    <w:lvl w:ilvl="8">
      <w:start w:val="0"/>
      <w:numFmt w:val="bullet"/>
      <w:lvlText w:val="•"/>
      <w:lvlJc w:val="left"/>
      <w:pPr>
        <w:ind w:left="7892" w:hanging="45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en-us" w:eastAsia="en-US" w:bidi="ar-SA"/>
    </w:rPr>
  </w:style>
  <w:style w:styleId="BodyText" w:type="paragraph">
    <w:name w:val="Body Text"/>
    <w:basedOn w:val="Normal"/>
    <w:uiPriority w:val="1"/>
    <w:qFormat/>
    <w:pPr>
      <w:spacing w:before="1"/>
      <w:ind w:left="749"/>
    </w:pPr>
    <w:rPr>
      <w:rFonts w:ascii="Open Sans" w:hAnsi="Open Sans" w:eastAsia="Open Sans" w:cs="Open Sans"/>
      <w:sz w:val="22"/>
      <w:szCs w:val="22"/>
      <w:lang w:val="en-us" w:eastAsia="en-US" w:bidi="ar-SA"/>
    </w:rPr>
  </w:style>
  <w:style w:styleId="Heading1" w:type="paragraph">
    <w:name w:val="Heading 1"/>
    <w:basedOn w:val="Normal"/>
    <w:uiPriority w:val="1"/>
    <w:qFormat/>
    <w:pPr>
      <w:ind w:left="120"/>
      <w:outlineLvl w:val="1"/>
    </w:pPr>
    <w:rPr>
      <w:rFonts w:ascii="Open Sans" w:hAnsi="Open Sans" w:eastAsia="Open Sans" w:cs="Open Sans"/>
      <w:sz w:val="40"/>
      <w:szCs w:val="40"/>
      <w:lang w:val="en-us" w:eastAsia="en-US" w:bidi="ar-SA"/>
    </w:rPr>
  </w:style>
  <w:style w:styleId="Heading2" w:type="paragraph">
    <w:name w:val="Heading 2"/>
    <w:basedOn w:val="Normal"/>
    <w:uiPriority w:val="1"/>
    <w:qFormat/>
    <w:pPr>
      <w:spacing w:before="53"/>
      <w:ind w:left="561" w:right="639"/>
      <w:jc w:val="center"/>
      <w:outlineLvl w:val="2"/>
    </w:pPr>
    <w:rPr>
      <w:rFonts w:ascii="Open Sans" w:hAnsi="Open Sans" w:eastAsia="Open Sans" w:cs="Open Sans"/>
      <w:sz w:val="32"/>
      <w:szCs w:val="32"/>
      <w:lang w:val="en-us" w:eastAsia="en-US" w:bidi="ar-SA"/>
    </w:rPr>
  </w:style>
  <w:style w:styleId="Heading3" w:type="paragraph">
    <w:name w:val="Heading 3"/>
    <w:basedOn w:val="Normal"/>
    <w:uiPriority w:val="1"/>
    <w:qFormat/>
    <w:pPr>
      <w:spacing w:before="89"/>
      <w:ind w:left="120"/>
      <w:outlineLvl w:val="3"/>
    </w:pPr>
    <w:rPr>
      <w:rFonts w:ascii="OpenSans-Semibold" w:hAnsi="OpenSans-Semibold" w:eastAsia="OpenSans-Semibold" w:cs="OpenSans-Semibold"/>
      <w:b/>
      <w:bCs/>
      <w:sz w:val="30"/>
      <w:szCs w:val="30"/>
      <w:lang w:val="en-us" w:eastAsia="en-US" w:bidi="ar-SA"/>
    </w:rPr>
  </w:style>
  <w:style w:styleId="Heading4" w:type="paragraph">
    <w:name w:val="Heading 4"/>
    <w:basedOn w:val="Normal"/>
    <w:uiPriority w:val="1"/>
    <w:qFormat/>
    <w:pPr>
      <w:spacing w:before="181"/>
      <w:ind w:left="120"/>
      <w:outlineLvl w:val="4"/>
    </w:pPr>
    <w:rPr>
      <w:rFonts w:ascii="Open Sans" w:hAnsi="Open Sans" w:eastAsia="Open Sans" w:cs="Open Sans"/>
      <w:b/>
      <w:bCs/>
      <w:sz w:val="22"/>
      <w:szCs w:val="22"/>
      <w:lang w:val="en-us" w:eastAsia="en-US" w:bidi="ar-SA"/>
    </w:rPr>
  </w:style>
  <w:style w:styleId="ListParagraph" w:type="paragraph">
    <w:name w:val="List Paragraph"/>
    <w:basedOn w:val="Normal"/>
    <w:uiPriority w:val="1"/>
    <w:qFormat/>
    <w:pPr>
      <w:spacing w:before="171"/>
      <w:ind w:left="749" w:hanging="450"/>
    </w:pPr>
    <w:rPr>
      <w:rFonts w:ascii="Open Sans" w:hAnsi="Open Sans" w:eastAsia="Open Sans" w:cs="Open Sans"/>
      <w:lang w:val="en-us" w:eastAsia="en-US" w:bidi="ar-SA"/>
    </w:rPr>
  </w:style>
  <w:style w:styleId="TableParagraph" w:type="paragraph">
    <w:name w:val="Table Paragraph"/>
    <w:basedOn w:val="Normal"/>
    <w:uiPriority w:val="1"/>
    <w:qFormat/>
    <w:pPr/>
    <w:rPr>
      <w:rFonts w:ascii="Open Sans" w:hAnsi="Open Sans" w:eastAsia="Open Sans" w:cs="Open Sans"/>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youtube.com/watch?v=GV0xfPtW8BU" TargetMode="External"/><Relationship Id="rId7" Type="http://schemas.openxmlformats.org/officeDocument/2006/relationships/hyperlink" Target="http://www.youtube.com/watch?v=kzbhVhXul3E" TargetMode="External"/><Relationship Id="rId8" Type="http://schemas.openxmlformats.org/officeDocument/2006/relationships/hyperlink" Target="http://www.youtube.com/watch?v=21Pv1qkFk58" TargetMode="External"/><Relationship Id="rId9" Type="http://schemas.openxmlformats.org/officeDocument/2006/relationships/hyperlink" Target="http://www.youtube.com/watch?v=srzniA8EKDk" TargetMode="External"/><Relationship Id="rId10" Type="http://schemas.openxmlformats.org/officeDocument/2006/relationships/hyperlink" Target="http://www.centralcoastbiodiversity.org/" TargetMode="External"/><Relationship Id="rId11" Type="http://schemas.openxmlformats.org/officeDocument/2006/relationships/hyperlink" Target="http://www.for.gov.bc.ca/hre/becweb/resources/codes-standards/standards-species.html" TargetMode="External"/><Relationship Id="rId12" Type="http://schemas.openxmlformats.org/officeDocument/2006/relationships/hyperlink" Target="http://www.inaturalist.org/"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hyperlink" Target="https://www.youtube.com/watch?v=kzbhVhXul3E" TargetMode="External"/><Relationship Id="rId16" Type="http://schemas.openxmlformats.org/officeDocument/2006/relationships/hyperlink" Target="https://www.youtube.com/watch?v=21Pv1qkFk58" TargetMode="External"/><Relationship Id="rId17" Type="http://schemas.openxmlformats.org/officeDocument/2006/relationships/hyperlink" Target="https://www.youtube.com/watch?v=GV0xfPtW8BU" TargetMode="External"/><Relationship Id="rId18" Type="http://schemas.openxmlformats.org/officeDocument/2006/relationships/hyperlink" Target="https://www.inaturalist.org/" TargetMode="External"/><Relationship Id="rId19" Type="http://schemas.openxmlformats.org/officeDocument/2006/relationships/hyperlink" Target="https://www.centralcoastbiodiversity.org/" TargetMode="External"/><Relationship Id="rId20" Type="http://schemas.openxmlformats.org/officeDocument/2006/relationships/hyperlink" Target="https://www.for.gov.bc.ca/hre/becweb/resources/codes-standards/standards-species.html" TargetMode="External"/><Relationship Id="rId21" Type="http://schemas.openxmlformats.org/officeDocument/2006/relationships/hyperlink" Target="https://greatbearrainforesttrust.org/activity-plans/" TargetMode="External"/><Relationship Id="rId22" Type="http://schemas.openxmlformats.org/officeDocument/2006/relationships/image" Target="media/image3.png"/><Relationship Id="rId23" Type="http://schemas.openxmlformats.org/officeDocument/2006/relationships/hyperlink" Target="https://creativecommons.org/licenses/by-sa/4.0/legalcode" TargetMode="External"/><Relationship Id="rId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2020-11-28T17:56:33Z</dcterms:created>
  <dcterms:modified xsi:type="dcterms:W3CDTF">2020-11-28T17:56:33Z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2020-11-28T00:00:00Z</vt:filetime>
  </property>
  <property fmtid="{D5CDD505-2E9C-101B-9397-08002B2CF9AE}" pid="3" name="Creator">
    <vt:lpwstr>Adobe InDesign 15.1 (Macintosh)</vt:lpwstr>
  </property>
  <property fmtid="{D5CDD505-2E9C-101B-9397-08002B2CF9AE}" pid="4" name="LastSaved">
    <vt:filetime>2020-11-28T00:00:00Z</vt:filetime>
  </property>
</Properties>
</file>